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6289F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44"/>
          <w:szCs w:val="44"/>
        </w:rPr>
      </w:pPr>
      <w:r>
        <w:rPr>
          <w:rFonts w:hint="eastAsia"/>
          <w:b/>
          <w:sz w:val="44"/>
          <w:szCs w:val="44"/>
        </w:rPr>
        <w:t>川投（资阳）燃气发电有限公司</w:t>
      </w:r>
    </w:p>
    <w:p w14:paraId="4ED43B3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b/>
          <w:sz w:val="44"/>
          <w:szCs w:val="44"/>
          <w:lang w:eastAsia="zh-CN"/>
        </w:rPr>
      </w:pPr>
      <w:r>
        <w:rPr>
          <w:rFonts w:hint="eastAsia"/>
          <w:b/>
          <w:sz w:val="44"/>
          <w:szCs w:val="44"/>
          <w:lang w:eastAsia="zh-CN"/>
        </w:rPr>
        <w:t>2025年机务年度维护物资</w:t>
      </w:r>
    </w:p>
    <w:p w14:paraId="577152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b/>
          <w:sz w:val="44"/>
          <w:szCs w:val="44"/>
          <w:lang w:val="en-US"/>
        </w:rPr>
      </w:pPr>
      <w:bookmarkStart w:id="20" w:name="_GoBack"/>
      <w:bookmarkEnd w:id="20"/>
      <w:r>
        <w:rPr>
          <w:rFonts w:hint="eastAsia"/>
          <w:b/>
          <w:sz w:val="44"/>
          <w:szCs w:val="44"/>
          <w:lang w:val="en-US" w:eastAsia="zh-CN"/>
        </w:rPr>
        <w:t>比选公告</w:t>
      </w:r>
    </w:p>
    <w:p w14:paraId="3C96D29E">
      <w:pPr>
        <w:spacing w:line="560" w:lineRule="exact"/>
        <w:ind w:firstLine="480" w:firstLineChars="200"/>
        <w:rPr>
          <w:rFonts w:hint="eastAsia" w:ascii="仿宋_GB2312" w:eastAsia="仿宋_GB2312"/>
          <w:sz w:val="24"/>
        </w:rPr>
      </w:pPr>
      <w:r>
        <w:rPr>
          <w:rFonts w:hint="eastAsia" w:ascii="仿宋_GB2312" w:eastAsia="仿宋_GB2312"/>
          <w:sz w:val="24"/>
        </w:rPr>
        <w:t>川投（资阳）燃气发电有限公司（以下简称</w:t>
      </w:r>
      <w:r>
        <w:rPr>
          <w:rFonts w:hint="eastAsia" w:ascii="仿宋_GB2312" w:eastAsia="仿宋_GB2312"/>
          <w:sz w:val="24"/>
          <w:lang w:val="zh-CN"/>
        </w:rPr>
        <w:t>“</w:t>
      </w:r>
      <w:r>
        <w:rPr>
          <w:rFonts w:hint="eastAsia" w:ascii="仿宋_GB2312" w:eastAsia="仿宋_GB2312"/>
          <w:sz w:val="24"/>
        </w:rPr>
        <w:t>资阳气电”或</w:t>
      </w:r>
      <w:r>
        <w:rPr>
          <w:rFonts w:hint="eastAsia" w:ascii="仿宋_GB2312" w:eastAsia="仿宋_GB2312"/>
          <w:sz w:val="24"/>
          <w:lang w:val="zh-CN"/>
        </w:rPr>
        <w:t>“比选</w:t>
      </w:r>
      <w:r>
        <w:rPr>
          <w:rFonts w:hint="eastAsia" w:ascii="仿宋_GB2312" w:eastAsia="仿宋_GB2312"/>
          <w:sz w:val="24"/>
        </w:rPr>
        <w:t>人”）成立于2021年12月16日，由四川川投燃气发电集团有限责任公司（系四川省投资集团有限责任公司全资子公司）全资组建，注册资本8亿元，负责川投集团资阳燃气电站新建工程项目的建设和运营。项目地点在四川省资阳市安岳县永顺镇永安路218号，距永顺镇约0.7km，距安岳县约6km，紧邻319国道。规划4台H级燃气发电机组，分两期建设。一期建设</w:t>
      </w:r>
      <w:r>
        <w:rPr>
          <w:rFonts w:hint="eastAsia" w:ascii="仿宋_GB2312" w:eastAsia="仿宋_GB2312"/>
          <w:sz w:val="24"/>
          <w:lang w:eastAsia="zh-CN"/>
        </w:rPr>
        <w:t>2台东方电气/三菱公司M701J重型燃气轮机，组成两套 “一拖一”单轴燃气</w:t>
      </w:r>
      <w:r>
        <w:rPr>
          <w:rFonts w:hint="eastAsia" w:ascii="仿宋_GB2312" w:eastAsia="仿宋_GB2312"/>
          <w:sz w:val="24"/>
          <w:lang w:val="en-US" w:eastAsia="zh-CN"/>
        </w:rPr>
        <w:t>-</w:t>
      </w:r>
      <w:r>
        <w:rPr>
          <w:rFonts w:hint="eastAsia" w:ascii="仿宋_GB2312" w:eastAsia="仿宋_GB2312"/>
          <w:sz w:val="24"/>
          <w:lang w:eastAsia="zh-CN"/>
        </w:rPr>
        <w:t>蒸汽联合循环机组，同步建设烟气脱硝装置。每套机组包括1台干式低NOx 燃气轮机、1台发电机、1台蒸汽轮机、1台西子清洁能源装备制造股份有限公司配套的无补燃三压再热型余热锅炉（配脱硝装置）及其相关的辅助设备，</w:t>
      </w:r>
      <w:r>
        <w:rPr>
          <w:rFonts w:hint="eastAsia" w:ascii="仿宋_GB2312" w:eastAsia="仿宋_GB2312"/>
          <w:sz w:val="24"/>
        </w:rPr>
        <w:t>机组年</w:t>
      </w:r>
      <w:r>
        <w:rPr>
          <w:rFonts w:hint="eastAsia" w:ascii="仿宋_GB2312" w:eastAsia="仿宋_GB2312"/>
          <w:sz w:val="24"/>
          <w:lang w:val="en-US" w:eastAsia="zh-CN"/>
        </w:rPr>
        <w:t>设计</w:t>
      </w:r>
      <w:r>
        <w:rPr>
          <w:rFonts w:hint="eastAsia" w:ascii="仿宋_GB2312" w:eastAsia="仿宋_GB2312"/>
          <w:sz w:val="24"/>
        </w:rPr>
        <w:t>发电利用小时数</w:t>
      </w:r>
      <w:r>
        <w:rPr>
          <w:rFonts w:hint="eastAsia" w:ascii="仿宋_GB2312" w:eastAsia="仿宋_GB2312"/>
          <w:sz w:val="24"/>
          <w:lang w:val="en-US" w:eastAsia="zh-CN"/>
        </w:rPr>
        <w:t>25</w:t>
      </w:r>
      <w:r>
        <w:rPr>
          <w:rFonts w:hint="eastAsia" w:ascii="仿宋_GB2312" w:eastAsia="仿宋_GB2312"/>
          <w:sz w:val="24"/>
        </w:rPr>
        <w:t>00小时</w:t>
      </w:r>
      <w:r>
        <w:rPr>
          <w:rFonts w:hint="eastAsia" w:ascii="仿宋_GB2312" w:eastAsia="仿宋_GB2312"/>
          <w:sz w:val="24"/>
          <w:lang w:eastAsia="zh-CN"/>
        </w:rPr>
        <w:t>。</w:t>
      </w:r>
      <w:r>
        <w:rPr>
          <w:rFonts w:hint="eastAsia" w:ascii="仿宋_GB2312" w:eastAsia="仿宋_GB2312"/>
          <w:sz w:val="24"/>
          <w:lang w:val="en-US" w:eastAsia="zh-CN"/>
        </w:rPr>
        <w:t>已分别于2024年6月、9月建成投产</w:t>
      </w:r>
      <w:r>
        <w:rPr>
          <w:rFonts w:hint="eastAsia" w:ascii="仿宋_GB2312" w:eastAsia="仿宋_GB2312"/>
          <w:sz w:val="24"/>
          <w:lang w:eastAsia="zh-CN"/>
        </w:rPr>
        <w:t>。</w:t>
      </w:r>
    </w:p>
    <w:p w14:paraId="347C99AA">
      <w:pPr>
        <w:spacing w:line="560" w:lineRule="exact"/>
        <w:ind w:firstLine="480" w:firstLineChars="200"/>
        <w:rPr>
          <w:rFonts w:ascii="仿宋_GB2312" w:eastAsia="仿宋_GB2312"/>
          <w:sz w:val="24"/>
        </w:rPr>
      </w:pPr>
      <w:r>
        <w:rPr>
          <w:rFonts w:hint="eastAsia" w:ascii="仿宋_GB2312" w:eastAsia="仿宋_GB2312"/>
          <w:sz w:val="24"/>
        </w:rPr>
        <w:t>资阳气电拟通过比选方式确定</w:t>
      </w:r>
      <w:r>
        <w:rPr>
          <w:rFonts w:hint="eastAsia" w:ascii="仿宋_GB2312" w:eastAsia="仿宋_GB2312"/>
          <w:sz w:val="24"/>
          <w:lang w:eastAsia="zh-CN"/>
        </w:rPr>
        <w:t>2025年机务年度维护物资</w:t>
      </w:r>
      <w:r>
        <w:rPr>
          <w:rFonts w:hint="eastAsia" w:ascii="仿宋_GB2312" w:eastAsia="仿宋_GB2312"/>
          <w:sz w:val="24"/>
        </w:rPr>
        <w:t>中标人，欢迎符合条件的潜在申请人参加比选活动。</w:t>
      </w:r>
    </w:p>
    <w:p w14:paraId="4233AD26">
      <w:pPr>
        <w:numPr>
          <w:ilvl w:val="-1"/>
          <w:numId w:val="0"/>
        </w:numPr>
        <w:spacing w:line="560" w:lineRule="exact"/>
        <w:ind w:firstLine="482" w:firstLineChars="200"/>
        <w:outlineLvl w:val="1"/>
        <w:rPr>
          <w:rFonts w:hint="eastAsia" w:ascii="宋体" w:hAnsi="宋体" w:eastAsia="宋体" w:cs="宋体"/>
          <w:b/>
          <w:bCs/>
          <w:kern w:val="2"/>
          <w:sz w:val="24"/>
        </w:rPr>
      </w:pPr>
      <w:bookmarkStart w:id="0" w:name="_Toc12189"/>
      <w:bookmarkStart w:id="1" w:name="_Toc29571"/>
      <w:bookmarkStart w:id="2" w:name="_Toc1633"/>
      <w:r>
        <w:rPr>
          <w:rFonts w:hint="eastAsia" w:ascii="宋体" w:hAnsi="宋体" w:eastAsia="宋体" w:cs="宋体"/>
          <w:b/>
          <w:bCs/>
          <w:kern w:val="2"/>
          <w:sz w:val="24"/>
          <w:lang w:val="en-US" w:eastAsia="zh-CN"/>
        </w:rPr>
        <w:t>一、</w:t>
      </w:r>
      <w:r>
        <w:rPr>
          <w:rFonts w:hint="eastAsia" w:ascii="宋体" w:hAnsi="宋体" w:cs="宋体"/>
          <w:b/>
          <w:bCs/>
          <w:kern w:val="2"/>
          <w:sz w:val="24"/>
          <w:lang w:val="en-US" w:eastAsia="zh-CN"/>
        </w:rPr>
        <w:t>比选</w:t>
      </w:r>
      <w:r>
        <w:rPr>
          <w:rFonts w:hint="eastAsia" w:ascii="宋体" w:hAnsi="宋体" w:eastAsia="宋体" w:cs="宋体"/>
          <w:b/>
          <w:bCs/>
          <w:kern w:val="2"/>
          <w:sz w:val="24"/>
        </w:rPr>
        <w:t>内容</w:t>
      </w:r>
      <w:bookmarkEnd w:id="0"/>
      <w:bookmarkEnd w:id="1"/>
      <w:bookmarkEnd w:id="2"/>
    </w:p>
    <w:p w14:paraId="7E6546E8">
      <w:pPr>
        <w:spacing w:line="560" w:lineRule="exact"/>
        <w:ind w:firstLine="480" w:firstLineChars="200"/>
        <w:rPr>
          <w:rFonts w:hint="eastAsia" w:ascii="仿宋_GB2312" w:eastAsia="仿宋_GB2312"/>
          <w:sz w:val="24"/>
          <w:lang w:val="en-US" w:eastAsia="zh-CN"/>
        </w:rPr>
      </w:pPr>
      <w:r>
        <w:rPr>
          <w:rFonts w:hint="eastAsia" w:ascii="仿宋_GB2312" w:eastAsia="仿宋_GB2312"/>
          <w:sz w:val="24"/>
        </w:rPr>
        <w:t>川投（资阳）燃气发电有限公司</w:t>
      </w:r>
      <w:r>
        <w:rPr>
          <w:rFonts w:hint="eastAsia" w:ascii="仿宋_GB2312" w:eastAsia="仿宋_GB2312"/>
          <w:sz w:val="24"/>
          <w:lang w:val="en-US" w:eastAsia="zh-CN"/>
        </w:rPr>
        <w:t>为确保运营期机组的正常运行，现需采购一批机务专业年度物资，采购清单详见附件。</w:t>
      </w:r>
    </w:p>
    <w:p w14:paraId="400FF424">
      <w:pPr>
        <w:spacing w:line="560" w:lineRule="exact"/>
        <w:ind w:firstLine="480" w:firstLineChars="200"/>
        <w:rPr>
          <w:rFonts w:hint="default" w:ascii="仿宋_GB2312" w:eastAsia="仿宋_GB2312"/>
          <w:sz w:val="24"/>
          <w:lang w:val="en-US" w:eastAsia="zh-CN"/>
        </w:rPr>
      </w:pPr>
      <w:r>
        <w:rPr>
          <w:rFonts w:hint="eastAsia" w:ascii="仿宋_GB2312" w:eastAsia="仿宋_GB2312"/>
          <w:sz w:val="24"/>
          <w:lang w:val="en-US" w:eastAsia="zh-CN"/>
        </w:rPr>
        <w:t>供货周期：暂定2025年5月10日前到货（具体供货时间以买方实际要求为准）。</w:t>
      </w:r>
    </w:p>
    <w:p w14:paraId="5F3C8BA5">
      <w:pPr>
        <w:spacing w:line="560" w:lineRule="exact"/>
        <w:ind w:firstLine="482" w:firstLineChars="200"/>
        <w:outlineLvl w:val="1"/>
        <w:rPr>
          <w:rFonts w:hint="eastAsia" w:ascii="宋体" w:hAnsi="宋体" w:eastAsia="宋体" w:cs="宋体"/>
          <w:b/>
          <w:bCs/>
          <w:kern w:val="2"/>
          <w:sz w:val="24"/>
        </w:rPr>
      </w:pPr>
      <w:bookmarkStart w:id="3" w:name="_Toc23118"/>
      <w:bookmarkStart w:id="4" w:name="_Toc14610"/>
      <w:bookmarkStart w:id="5" w:name="_Toc32737"/>
      <w:r>
        <w:rPr>
          <w:rFonts w:hint="eastAsia" w:ascii="宋体" w:hAnsi="宋体" w:eastAsia="宋体" w:cs="宋体"/>
          <w:b/>
          <w:bCs/>
          <w:kern w:val="2"/>
          <w:sz w:val="24"/>
        </w:rPr>
        <w:t>二、</w:t>
      </w:r>
      <w:r>
        <w:rPr>
          <w:rFonts w:hint="eastAsia" w:ascii="宋体" w:hAnsi="宋体" w:cs="宋体"/>
          <w:b/>
          <w:bCs/>
          <w:kern w:val="2"/>
          <w:sz w:val="24"/>
          <w:lang w:val="en-US" w:eastAsia="zh-CN"/>
        </w:rPr>
        <w:t>供应商</w:t>
      </w:r>
      <w:r>
        <w:rPr>
          <w:rFonts w:hint="eastAsia" w:ascii="宋体" w:hAnsi="宋体" w:eastAsia="宋体" w:cs="宋体"/>
          <w:b/>
          <w:bCs/>
          <w:kern w:val="2"/>
          <w:sz w:val="24"/>
        </w:rPr>
        <w:t>资格要求</w:t>
      </w:r>
      <w:bookmarkEnd w:id="3"/>
      <w:bookmarkEnd w:id="4"/>
      <w:bookmarkEnd w:id="5"/>
    </w:p>
    <w:p w14:paraId="68C8FD37">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（一）具备独立法人资格，具有有效的营业执照;</w:t>
      </w:r>
    </w:p>
    <w:p w14:paraId="24F2FB2C">
      <w:pPr>
        <w:spacing w:line="560" w:lineRule="exact"/>
        <w:ind w:firstLine="480" w:firstLineChars="200"/>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eastAsia="仿宋_GB2312" w:cs="仿宋_GB2312"/>
          <w:b w:val="0"/>
          <w:bCs w:val="0"/>
          <w:kern w:val="2"/>
          <w:sz w:val="24"/>
          <w:szCs w:val="24"/>
          <w:lang w:val="en-US" w:eastAsia="zh-CN" w:bidi="ar-SA"/>
        </w:rPr>
        <w:t>（二）</w:t>
      </w:r>
      <w:bookmarkStart w:id="6" w:name="_Toc37772063"/>
      <w:r>
        <w:rPr>
          <w:rFonts w:hint="eastAsia" w:ascii="仿宋_GB2312" w:hAnsi="仿宋_GB2312" w:eastAsia="仿宋_GB2312" w:cs="仿宋_GB2312"/>
          <w:b w:val="0"/>
          <w:bCs w:val="0"/>
          <w:kern w:val="2"/>
          <w:sz w:val="24"/>
          <w:szCs w:val="24"/>
          <w:lang w:val="en-US" w:eastAsia="zh-CN" w:bidi="ar-SA"/>
        </w:rPr>
        <w:t>近三年(2022年1月1日至比选截止日止)应具有至少1个已完成或正在供货的发电企业或类似物资供货业绩。</w:t>
      </w:r>
    </w:p>
    <w:bookmarkEnd w:id="6"/>
    <w:p w14:paraId="6230F45B">
      <w:pPr>
        <w:spacing w:line="540" w:lineRule="exact"/>
        <w:ind w:firstLine="482" w:firstLineChars="200"/>
        <w:outlineLvl w:val="1"/>
        <w:rPr>
          <w:rFonts w:hint="eastAsia" w:ascii="宋体" w:hAnsi="宋体" w:eastAsia="宋体" w:cs="宋体"/>
          <w:b/>
          <w:bCs/>
          <w:kern w:val="2"/>
          <w:sz w:val="24"/>
        </w:rPr>
      </w:pPr>
      <w:bookmarkStart w:id="7" w:name="_Toc17293"/>
      <w:bookmarkStart w:id="8" w:name="_Toc12307"/>
      <w:bookmarkStart w:id="9" w:name="_Toc22982"/>
      <w:r>
        <w:rPr>
          <w:rFonts w:hint="eastAsia" w:ascii="宋体" w:hAnsi="宋体" w:eastAsia="宋体" w:cs="宋体"/>
          <w:b/>
          <w:bCs/>
          <w:kern w:val="2"/>
          <w:sz w:val="24"/>
        </w:rPr>
        <w:t>三、</w:t>
      </w:r>
      <w:r>
        <w:rPr>
          <w:rFonts w:hint="eastAsia" w:ascii="宋体" w:hAnsi="宋体" w:eastAsia="宋体" w:cs="宋体"/>
          <w:b/>
          <w:bCs/>
          <w:sz w:val="24"/>
        </w:rPr>
        <w:t>报名及获取采购文件</w:t>
      </w:r>
      <w:bookmarkEnd w:id="7"/>
      <w:bookmarkEnd w:id="8"/>
      <w:bookmarkEnd w:id="9"/>
    </w:p>
    <w:p w14:paraId="1067B19E">
      <w:pPr>
        <w:spacing w:line="540" w:lineRule="exact"/>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（一）凡符合要求且有意参加本项目比选的潜在供应商，</w:t>
      </w:r>
      <w:r>
        <w:rPr>
          <w:rFonts w:hint="eastAsia" w:ascii="仿宋_GB2312" w:hAnsi="仿宋_GB2312" w:eastAsia="仿宋_GB2312" w:cs="仿宋_GB2312"/>
          <w:color w:val="FF0000"/>
          <w:sz w:val="24"/>
          <w:highlight w:val="yellow"/>
        </w:rPr>
        <w:t>请于202</w:t>
      </w:r>
      <w:r>
        <w:rPr>
          <w:rFonts w:hint="eastAsia" w:ascii="仿宋_GB2312" w:hAnsi="仿宋_GB2312" w:eastAsia="仿宋_GB2312" w:cs="仿宋_GB2312"/>
          <w:color w:val="FF0000"/>
          <w:sz w:val="24"/>
          <w:highlight w:val="yellow"/>
          <w:lang w:val="en-US" w:eastAsia="zh-CN"/>
        </w:rPr>
        <w:t>5</w:t>
      </w:r>
      <w:r>
        <w:rPr>
          <w:rFonts w:hint="eastAsia" w:ascii="仿宋_GB2312" w:hAnsi="仿宋_GB2312" w:eastAsia="仿宋_GB2312" w:cs="仿宋_GB2312"/>
          <w:color w:val="FF0000"/>
          <w:sz w:val="24"/>
          <w:highlight w:val="yellow"/>
        </w:rPr>
        <w:t>年</w:t>
      </w:r>
      <w:r>
        <w:rPr>
          <w:rFonts w:hint="eastAsia" w:ascii="仿宋_GB2312" w:hAnsi="仿宋_GB2312" w:eastAsia="仿宋_GB2312" w:cs="仿宋_GB2312"/>
          <w:color w:val="FF0000"/>
          <w:sz w:val="24"/>
          <w:highlight w:val="yellow"/>
          <w:lang w:val="en-US" w:eastAsia="zh-CN"/>
        </w:rPr>
        <w:t>4</w:t>
      </w:r>
      <w:r>
        <w:rPr>
          <w:rFonts w:hint="eastAsia" w:ascii="仿宋_GB2312" w:hAnsi="仿宋_GB2312" w:eastAsia="仿宋_GB2312" w:cs="仿宋_GB2312"/>
          <w:color w:val="FF0000"/>
          <w:sz w:val="24"/>
          <w:highlight w:val="yellow"/>
        </w:rPr>
        <w:t>月</w:t>
      </w:r>
      <w:r>
        <w:rPr>
          <w:rFonts w:hint="eastAsia" w:ascii="仿宋_GB2312" w:hAnsi="仿宋_GB2312" w:eastAsia="仿宋_GB2312" w:cs="仿宋_GB2312"/>
          <w:color w:val="FF0000"/>
          <w:sz w:val="24"/>
          <w:highlight w:val="yellow"/>
          <w:lang w:val="en-US" w:eastAsia="zh-CN"/>
        </w:rPr>
        <w:t>2</w:t>
      </w:r>
      <w:r>
        <w:rPr>
          <w:rFonts w:hint="eastAsia" w:ascii="仿宋_GB2312" w:hAnsi="仿宋_GB2312" w:eastAsia="仿宋_GB2312" w:cs="仿宋_GB2312"/>
          <w:color w:val="FF0000"/>
          <w:sz w:val="24"/>
          <w:highlight w:val="yellow"/>
        </w:rPr>
        <w:t>日</w:t>
      </w:r>
      <w:r>
        <w:rPr>
          <w:rFonts w:hint="eastAsia" w:ascii="仿宋_GB2312" w:hAnsi="仿宋_GB2312" w:eastAsia="仿宋_GB2312" w:cs="仿宋_GB2312"/>
          <w:color w:val="FF0000"/>
          <w:sz w:val="24"/>
          <w:highlight w:val="yellow"/>
          <w:lang w:val="en-US" w:eastAsia="zh-CN"/>
        </w:rPr>
        <w:t>17</w:t>
      </w:r>
      <w:r>
        <w:rPr>
          <w:rFonts w:hint="eastAsia" w:ascii="仿宋_GB2312" w:hAnsi="仿宋_GB2312" w:eastAsia="仿宋_GB2312" w:cs="仿宋_GB2312"/>
          <w:color w:val="FF0000"/>
          <w:sz w:val="24"/>
          <w:highlight w:val="yellow"/>
        </w:rPr>
        <w:t>时</w:t>
      </w:r>
      <w:r>
        <w:rPr>
          <w:rFonts w:hint="eastAsia" w:ascii="仿宋_GB2312" w:hAnsi="仿宋_GB2312" w:eastAsia="仿宋_GB2312" w:cs="仿宋_GB2312"/>
          <w:sz w:val="24"/>
        </w:rPr>
        <w:t>之前登录天府阳光采购平台（http://scig.tfygcgfw.com/），完成注册</w:t>
      </w:r>
      <w:r>
        <w:rPr>
          <w:rFonts w:hint="eastAsia" w:ascii="仿宋_GB2312" w:hAnsi="仿宋_GB2312" w:eastAsia="仿宋_GB2312" w:cs="仿宋_GB2312"/>
          <w:sz w:val="24"/>
          <w:lang w:val="en-US" w:eastAsia="zh-CN"/>
        </w:rPr>
        <w:t>报名</w:t>
      </w:r>
      <w:r>
        <w:rPr>
          <w:rFonts w:hint="eastAsia" w:ascii="仿宋_GB2312" w:hAnsi="仿宋_GB2312" w:eastAsia="仿宋_GB2312" w:cs="仿宋_GB2312"/>
          <w:sz w:val="24"/>
        </w:rPr>
        <w:t>下载比选资料（比选文件等）。</w:t>
      </w:r>
    </w:p>
    <w:p w14:paraId="31CD5399">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（二） 除上述方式外，比选人不提供其他任何报名和比选文件获取方式。</w:t>
      </w:r>
    </w:p>
    <w:p w14:paraId="2BFA31A2">
      <w:pPr>
        <w:spacing w:line="360" w:lineRule="auto"/>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注：天府阳光采购服务平台</w:t>
      </w:r>
      <w:r>
        <w:rPr>
          <w:rFonts w:hint="eastAsia" w:ascii="仿宋_GB2312" w:hAnsi="仿宋_GB2312" w:eastAsia="仿宋_GB2312" w:cs="仿宋_GB2312"/>
          <w:sz w:val="24"/>
          <w:lang w:val="en-US" w:eastAsia="zh-CN"/>
        </w:rPr>
        <w:t>服务费</w:t>
      </w:r>
      <w:r>
        <w:rPr>
          <w:rFonts w:hint="eastAsia" w:ascii="仿宋_GB2312" w:hAnsi="仿宋_GB2312" w:eastAsia="仿宋_GB2312" w:cs="仿宋_GB2312"/>
          <w:sz w:val="24"/>
        </w:rPr>
        <w:t>收费标准：人民币50 元。为保证招投标的公平公正，“天府阳光采购服务平台”已与银行实现系统对接，从缴费账号生成、缴费确认、标书下载和投标功能开放，全部实现自动化、线上化，请投标人务必按照要求缴纳标书费和投标保证金，避免影响投标。</w:t>
      </w:r>
    </w:p>
    <w:p w14:paraId="4708608C">
      <w:pPr>
        <w:spacing w:line="560" w:lineRule="exact"/>
        <w:ind w:firstLine="482" w:firstLineChars="200"/>
        <w:outlineLvl w:val="1"/>
        <w:rPr>
          <w:rFonts w:hint="eastAsia" w:ascii="宋体" w:hAnsi="宋体" w:eastAsia="宋体" w:cs="宋体"/>
          <w:b/>
          <w:bCs/>
          <w:kern w:val="2"/>
          <w:sz w:val="24"/>
        </w:rPr>
      </w:pPr>
      <w:bookmarkStart w:id="10" w:name="_Toc21487"/>
      <w:bookmarkStart w:id="11" w:name="_Toc4815"/>
      <w:bookmarkStart w:id="12" w:name="_Toc28043"/>
      <w:r>
        <w:rPr>
          <w:rFonts w:hint="eastAsia" w:ascii="宋体" w:hAnsi="宋体" w:eastAsia="宋体" w:cs="宋体"/>
          <w:b/>
          <w:bCs/>
          <w:kern w:val="2"/>
          <w:sz w:val="24"/>
        </w:rPr>
        <w:t>四、递交比选申请文件截止时间及地点</w:t>
      </w:r>
      <w:bookmarkEnd w:id="10"/>
      <w:bookmarkEnd w:id="11"/>
      <w:bookmarkEnd w:id="12"/>
    </w:p>
    <w:p w14:paraId="53485B6E">
      <w:pPr>
        <w:spacing w:line="360" w:lineRule="auto"/>
        <w:ind w:firstLine="482" w:firstLineChars="200"/>
        <w:rPr>
          <w:rFonts w:ascii="仿宋_GB2312" w:hAnsi="仿宋_GB2312" w:eastAsia="仿宋_GB2312" w:cs="仿宋_GB2312"/>
          <w:sz w:val="24"/>
        </w:rPr>
      </w:pPr>
      <w:r>
        <w:rPr>
          <w:rFonts w:hint="eastAsia" w:ascii="仿宋_GB2312" w:hAnsi="仿宋_GB2312" w:eastAsia="仿宋_GB2312" w:cs="仿宋_GB2312"/>
          <w:b/>
          <w:bCs/>
          <w:sz w:val="24"/>
          <w:lang w:val="en-US" w:eastAsia="zh-CN"/>
        </w:rPr>
        <w:t>1.</w:t>
      </w:r>
      <w:r>
        <w:rPr>
          <w:rFonts w:hint="eastAsia" w:ascii="仿宋_GB2312" w:hAnsi="仿宋_GB2312" w:eastAsia="仿宋_GB2312" w:cs="仿宋_GB2312"/>
          <w:b/>
          <w:bCs/>
          <w:sz w:val="24"/>
        </w:rPr>
        <w:t>比选申请文件递交的截止时间：</w:t>
      </w:r>
      <w:r>
        <w:rPr>
          <w:rFonts w:hint="eastAsia" w:ascii="仿宋_GB2312" w:hAnsi="仿宋_GB2312" w:eastAsia="仿宋_GB2312" w:cs="仿宋_GB2312"/>
          <w:b/>
          <w:bCs/>
          <w:sz w:val="24"/>
          <w:highlight w:val="yellow"/>
        </w:rPr>
        <w:t>202</w:t>
      </w:r>
      <w:r>
        <w:rPr>
          <w:rFonts w:hint="eastAsia" w:ascii="仿宋_GB2312" w:hAnsi="仿宋_GB2312" w:eastAsia="仿宋_GB2312" w:cs="仿宋_GB2312"/>
          <w:b/>
          <w:bCs/>
          <w:sz w:val="24"/>
          <w:highlight w:val="yellow"/>
          <w:lang w:val="en-US" w:eastAsia="zh-CN"/>
        </w:rPr>
        <w:t>5</w:t>
      </w:r>
      <w:r>
        <w:rPr>
          <w:rFonts w:hint="eastAsia" w:ascii="仿宋_GB2312" w:hAnsi="仿宋_GB2312" w:eastAsia="仿宋_GB2312" w:cs="仿宋_GB2312"/>
          <w:b/>
          <w:bCs/>
          <w:sz w:val="24"/>
          <w:highlight w:val="yellow"/>
        </w:rPr>
        <w:t>年</w:t>
      </w:r>
      <w:r>
        <w:rPr>
          <w:rFonts w:hint="eastAsia" w:ascii="仿宋_GB2312" w:hAnsi="仿宋_GB2312" w:eastAsia="仿宋_GB2312" w:cs="仿宋_GB2312"/>
          <w:b/>
          <w:bCs/>
          <w:sz w:val="24"/>
          <w:highlight w:val="yellow"/>
          <w:u w:val="none"/>
          <w:lang w:val="en-US" w:eastAsia="zh-CN"/>
        </w:rPr>
        <w:t>4</w:t>
      </w:r>
      <w:r>
        <w:rPr>
          <w:rFonts w:hint="eastAsia" w:ascii="仿宋_GB2312" w:hAnsi="仿宋_GB2312" w:eastAsia="仿宋_GB2312" w:cs="仿宋_GB2312"/>
          <w:b/>
          <w:bCs/>
          <w:sz w:val="24"/>
          <w:highlight w:val="yellow"/>
        </w:rPr>
        <w:t>月</w:t>
      </w:r>
      <w:r>
        <w:rPr>
          <w:rFonts w:hint="eastAsia" w:ascii="仿宋_GB2312" w:hAnsi="仿宋_GB2312" w:eastAsia="仿宋_GB2312" w:cs="仿宋_GB2312"/>
          <w:b/>
          <w:bCs/>
          <w:sz w:val="24"/>
          <w:highlight w:val="yellow"/>
          <w:lang w:val="en-US" w:eastAsia="zh-CN"/>
        </w:rPr>
        <w:t>8</w:t>
      </w:r>
      <w:r>
        <w:rPr>
          <w:rFonts w:hint="eastAsia" w:ascii="仿宋_GB2312" w:hAnsi="仿宋_GB2312" w:eastAsia="仿宋_GB2312" w:cs="仿宋_GB2312"/>
          <w:b/>
          <w:bCs/>
          <w:sz w:val="24"/>
          <w:highlight w:val="yellow"/>
        </w:rPr>
        <w:t>日</w:t>
      </w:r>
      <w:r>
        <w:rPr>
          <w:rFonts w:hint="eastAsia" w:ascii="仿宋_GB2312" w:hAnsi="仿宋_GB2312" w:eastAsia="仿宋_GB2312" w:cs="仿宋_GB2312"/>
          <w:b/>
          <w:bCs/>
          <w:sz w:val="24"/>
          <w:highlight w:val="yellow"/>
          <w:lang w:val="en-US" w:eastAsia="zh-CN"/>
        </w:rPr>
        <w:t>14</w:t>
      </w:r>
      <w:r>
        <w:rPr>
          <w:rFonts w:hint="eastAsia" w:ascii="仿宋_GB2312" w:hAnsi="仿宋_GB2312" w:eastAsia="仿宋_GB2312" w:cs="仿宋_GB2312"/>
          <w:b/>
          <w:bCs/>
          <w:sz w:val="24"/>
          <w:highlight w:val="yellow"/>
        </w:rPr>
        <w:t>:</w:t>
      </w:r>
      <w:r>
        <w:rPr>
          <w:rFonts w:hint="eastAsia" w:ascii="仿宋_GB2312" w:hAnsi="仿宋_GB2312" w:eastAsia="仿宋_GB2312" w:cs="仿宋_GB2312"/>
          <w:b/>
          <w:bCs/>
          <w:sz w:val="24"/>
          <w:highlight w:val="yellow"/>
          <w:lang w:val="en-US" w:eastAsia="zh-CN"/>
        </w:rPr>
        <w:t>30</w:t>
      </w:r>
      <w:r>
        <w:rPr>
          <w:rFonts w:hint="eastAsia" w:ascii="仿宋_GB2312" w:hAnsi="仿宋_GB2312" w:eastAsia="仿宋_GB2312" w:cs="仿宋_GB2312"/>
          <w:b/>
          <w:bCs/>
          <w:sz w:val="24"/>
        </w:rPr>
        <w:t>。逾期送达或未按</w:t>
      </w:r>
      <w:r>
        <w:rPr>
          <w:rFonts w:hint="eastAsia" w:ascii="仿宋_GB2312" w:hAnsi="仿宋_GB2312" w:eastAsia="仿宋_GB2312" w:cs="仿宋_GB2312"/>
          <w:b/>
          <w:bCs/>
          <w:sz w:val="24"/>
          <w:lang w:val="en-US" w:eastAsia="zh-CN"/>
        </w:rPr>
        <w:t>指</w:t>
      </w:r>
      <w:r>
        <w:rPr>
          <w:rFonts w:hint="eastAsia" w:ascii="仿宋_GB2312" w:hAnsi="仿宋_GB2312" w:eastAsia="仿宋_GB2312" w:cs="仿宋_GB2312"/>
          <w:b/>
          <w:bCs/>
          <w:sz w:val="24"/>
        </w:rPr>
        <w:t>定地址送达的均不予受理。</w:t>
      </w:r>
    </w:p>
    <w:p w14:paraId="186D9C2D">
      <w:pPr>
        <w:spacing w:line="560" w:lineRule="exact"/>
        <w:ind w:firstLine="482" w:firstLineChars="200"/>
        <w:rPr>
          <w:rFonts w:hint="eastAsia" w:ascii="方正仿宋_GB2312" w:hAnsi="方正仿宋_GB2312" w:eastAsia="方正仿宋_GB2312" w:cs="方正仿宋_GB2312"/>
          <w:sz w:val="24"/>
        </w:rPr>
      </w:pPr>
      <w:r>
        <w:rPr>
          <w:rFonts w:hint="eastAsia" w:ascii="仿宋_GB2312" w:eastAsia="仿宋_GB2312"/>
          <w:b/>
          <w:bCs/>
          <w:sz w:val="24"/>
        </w:rPr>
        <w:t>比选申请人须在比选申请文件递交截止时间前将比选申请文件邮寄或送至四川省资阳市安岳县永顺镇永安路218号川投（资阳）燃气发电有限公司</w:t>
      </w:r>
      <w:r>
        <w:rPr>
          <w:rFonts w:hint="eastAsia" w:ascii="仿宋_GB2312" w:eastAsia="仿宋_GB2312"/>
          <w:b/>
          <w:bCs/>
          <w:sz w:val="24"/>
          <w:lang w:val="en-US" w:eastAsia="zh-CN"/>
        </w:rPr>
        <w:t>生产综合楼</w:t>
      </w:r>
      <w:r>
        <w:rPr>
          <w:rFonts w:hint="eastAsia" w:ascii="仿宋_GB2312" w:eastAsia="仿宋_GB2312"/>
          <w:b/>
          <w:bCs/>
          <w:sz w:val="24"/>
        </w:rPr>
        <w:t>2楼（</w:t>
      </w:r>
      <w:r>
        <w:rPr>
          <w:rFonts w:hint="eastAsia" w:ascii="仿宋_GB2312" w:eastAsia="仿宋_GB2312"/>
          <w:b/>
          <w:bCs/>
          <w:sz w:val="24"/>
          <w:lang w:eastAsia="zh-CN"/>
        </w:rPr>
        <w:t>经营管理部</w:t>
      </w:r>
      <w:r>
        <w:rPr>
          <w:rFonts w:hint="eastAsia" w:ascii="仿宋_GB2312" w:hAnsi="Times New Roman" w:eastAsia="仿宋_GB2312" w:cs="Times New Roman"/>
          <w:b/>
          <w:bCs/>
          <w:sz w:val="24"/>
        </w:rPr>
        <w:t>），时间以比选人签收时间为准</w:t>
      </w:r>
      <w:r>
        <w:rPr>
          <w:rFonts w:hint="eastAsia" w:ascii="仿宋_GB2312" w:hAnsi="Times New Roman" w:eastAsia="仿宋_GB2312" w:cs="Times New Roman"/>
          <w:b/>
          <w:bCs/>
          <w:sz w:val="24"/>
          <w:lang w:eastAsia="zh-CN"/>
        </w:rPr>
        <w:t>。</w:t>
      </w:r>
    </w:p>
    <w:p w14:paraId="58DD917D">
      <w:pPr>
        <w:snapToGrid/>
        <w:spacing w:beforeLines="-2147483648" w:afterLines="-2147483648" w:line="560" w:lineRule="exact"/>
        <w:ind w:firstLine="482" w:firstLineChars="200"/>
        <w:jc w:val="left"/>
        <w:rPr>
          <w:rFonts w:hint="eastAsia" w:ascii="仿宋_GB2312" w:hAnsi="Times New Roman" w:eastAsia="仿宋_GB2312" w:cs="Times New Roman"/>
          <w:b/>
          <w:bCs/>
          <w:sz w:val="24"/>
          <w:lang w:val="en-US" w:eastAsia="zh-CN"/>
        </w:rPr>
      </w:pPr>
      <w:r>
        <w:rPr>
          <w:rFonts w:hint="eastAsia" w:ascii="仿宋_GB2312" w:hAnsi="Times New Roman" w:eastAsia="仿宋_GB2312" w:cs="Times New Roman"/>
          <w:b/>
          <w:bCs/>
          <w:sz w:val="24"/>
          <w:lang w:val="en-US" w:eastAsia="zh-CN"/>
        </w:rPr>
        <w:t>特别提醒：（1）</w:t>
      </w:r>
      <w:r>
        <w:rPr>
          <w:rFonts w:hint="eastAsia" w:ascii="仿宋_GB2312" w:eastAsia="仿宋_GB2312"/>
          <w:b/>
          <w:bCs/>
          <w:sz w:val="24"/>
        </w:rPr>
        <w:t>比选申请文件</w:t>
      </w:r>
      <w:r>
        <w:rPr>
          <w:rFonts w:hint="eastAsia" w:ascii="仿宋_GB2312" w:hAnsi="Times New Roman" w:eastAsia="仿宋_GB2312" w:cs="Times New Roman"/>
          <w:b/>
          <w:bCs/>
          <w:sz w:val="24"/>
          <w:lang w:val="en-US" w:eastAsia="zh-CN"/>
        </w:rPr>
        <w:t>资格审查部分</w:t>
      </w:r>
      <w:r>
        <w:rPr>
          <w:rFonts w:hint="eastAsia" w:ascii="仿宋_GB2312" w:hAnsi="Times New Roman" w:eastAsia="仿宋_GB2312" w:cs="Times New Roman"/>
          <w:b/>
          <w:bCs/>
          <w:sz w:val="24"/>
        </w:rPr>
        <w:t>须另附一份关于不到场的承诺，承诺的内容须包含</w:t>
      </w:r>
      <w:r>
        <w:rPr>
          <w:rFonts w:hint="eastAsia" w:ascii="仿宋_GB2312" w:eastAsia="仿宋_GB2312" w:cs="Times New Roman"/>
          <w:b/>
          <w:bCs/>
          <w:sz w:val="24"/>
          <w:lang w:val="en-US" w:eastAsia="zh-CN"/>
        </w:rPr>
        <w:t>比选申请</w:t>
      </w:r>
      <w:r>
        <w:rPr>
          <w:rFonts w:hint="eastAsia" w:ascii="仿宋_GB2312" w:hAnsi="Times New Roman" w:eastAsia="仿宋_GB2312" w:cs="Times New Roman"/>
          <w:b/>
          <w:bCs/>
          <w:sz w:val="24"/>
        </w:rPr>
        <w:t>人自愿不到场参与</w:t>
      </w:r>
      <w:r>
        <w:rPr>
          <w:rFonts w:hint="eastAsia" w:ascii="仿宋_GB2312" w:eastAsia="仿宋_GB2312" w:cs="Times New Roman"/>
          <w:b/>
          <w:bCs/>
          <w:sz w:val="24"/>
          <w:lang w:val="en-US" w:eastAsia="zh-CN"/>
        </w:rPr>
        <w:t>比选</w:t>
      </w:r>
      <w:r>
        <w:rPr>
          <w:rFonts w:hint="eastAsia" w:ascii="仿宋_GB2312" w:hAnsi="Times New Roman" w:eastAsia="仿宋_GB2312" w:cs="Times New Roman"/>
          <w:b/>
          <w:bCs/>
          <w:sz w:val="24"/>
        </w:rPr>
        <w:t>活动且对本项目开</w:t>
      </w:r>
      <w:r>
        <w:rPr>
          <w:rFonts w:hint="eastAsia" w:ascii="仿宋_GB2312" w:eastAsia="仿宋_GB2312" w:cs="Times New Roman"/>
          <w:b/>
          <w:bCs/>
          <w:sz w:val="24"/>
          <w:lang w:val="en-US" w:eastAsia="zh-CN"/>
        </w:rPr>
        <w:t>选</w:t>
      </w:r>
      <w:r>
        <w:rPr>
          <w:rFonts w:hint="eastAsia" w:ascii="仿宋_GB2312" w:hAnsi="Times New Roman" w:eastAsia="仿宋_GB2312" w:cs="Times New Roman"/>
          <w:b/>
          <w:bCs/>
          <w:sz w:val="24"/>
        </w:rPr>
        <w:t>、评</w:t>
      </w:r>
      <w:r>
        <w:rPr>
          <w:rFonts w:hint="eastAsia" w:ascii="仿宋_GB2312" w:eastAsia="仿宋_GB2312" w:cs="Times New Roman"/>
          <w:b/>
          <w:bCs/>
          <w:sz w:val="24"/>
          <w:lang w:val="en-US" w:eastAsia="zh-CN"/>
        </w:rPr>
        <w:t>审</w:t>
      </w:r>
      <w:r>
        <w:rPr>
          <w:rFonts w:hint="eastAsia" w:ascii="仿宋_GB2312" w:hAnsi="Times New Roman" w:eastAsia="仿宋_GB2312" w:cs="Times New Roman"/>
          <w:b/>
          <w:bCs/>
          <w:sz w:val="24"/>
        </w:rPr>
        <w:t>的流程、结果无异议</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格式自拟</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val="en-US" w:eastAsia="zh-CN"/>
        </w:rPr>
        <w:t>否则</w:t>
      </w:r>
      <w:r>
        <w:rPr>
          <w:rFonts w:hint="eastAsia" w:ascii="仿宋_GB2312" w:eastAsia="仿宋_GB2312" w:cs="Times New Roman"/>
          <w:b/>
          <w:bCs/>
          <w:sz w:val="24"/>
          <w:lang w:val="en-US" w:eastAsia="zh-CN"/>
        </w:rPr>
        <w:t>比选人</w:t>
      </w:r>
      <w:r>
        <w:rPr>
          <w:rFonts w:hint="eastAsia" w:ascii="仿宋_GB2312" w:hAnsi="Times New Roman" w:eastAsia="仿宋_GB2312" w:cs="Times New Roman"/>
          <w:b/>
          <w:bCs/>
          <w:sz w:val="24"/>
        </w:rPr>
        <w:t>将</w:t>
      </w:r>
      <w:r>
        <w:rPr>
          <w:rFonts w:hint="eastAsia" w:ascii="仿宋_GB2312" w:eastAsia="仿宋_GB2312" w:cs="Times New Roman"/>
          <w:b/>
          <w:bCs/>
          <w:sz w:val="24"/>
          <w:lang w:val="en-US" w:eastAsia="zh-CN"/>
        </w:rPr>
        <w:t>该比选申请文件</w:t>
      </w:r>
      <w:r>
        <w:rPr>
          <w:rFonts w:hint="eastAsia" w:ascii="仿宋_GB2312" w:hAnsi="Times New Roman" w:eastAsia="仿宋_GB2312" w:cs="Times New Roman"/>
          <w:b/>
          <w:bCs/>
          <w:sz w:val="24"/>
          <w:lang w:val="en-US" w:eastAsia="zh-CN"/>
        </w:rPr>
        <w:t>作无效文件处理</w:t>
      </w:r>
      <w:r>
        <w:rPr>
          <w:rFonts w:hint="eastAsia" w:ascii="仿宋_GB2312" w:hAnsi="Times New Roman" w:eastAsia="仿宋_GB2312" w:cs="Times New Roman"/>
          <w:b/>
          <w:bCs/>
          <w:sz w:val="24"/>
        </w:rPr>
        <w:t>。</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2</w:t>
      </w:r>
      <w:r>
        <w:rPr>
          <w:rFonts w:hint="eastAsia" w:ascii="仿宋_GB2312" w:hAnsi="Times New Roman" w:eastAsia="仿宋_GB2312" w:cs="Times New Roman"/>
          <w:b/>
          <w:bCs/>
          <w:sz w:val="24"/>
          <w:lang w:eastAsia="zh-CN"/>
        </w:rPr>
        <w:t>）</w:t>
      </w:r>
      <w:r>
        <w:rPr>
          <w:rFonts w:hint="eastAsia" w:ascii="仿宋_GB2312" w:hAnsi="Times New Roman" w:eastAsia="仿宋_GB2312" w:cs="Times New Roman"/>
          <w:b/>
          <w:bCs/>
          <w:sz w:val="24"/>
          <w:lang w:val="en-US" w:eastAsia="zh-CN"/>
        </w:rPr>
        <w:t>请</w:t>
      </w:r>
      <w:r>
        <w:rPr>
          <w:rFonts w:hint="eastAsia" w:ascii="仿宋_GB2312" w:eastAsia="仿宋_GB2312" w:cs="Times New Roman"/>
          <w:b/>
          <w:bCs/>
          <w:sz w:val="24"/>
          <w:lang w:val="en-US" w:eastAsia="zh-CN"/>
        </w:rPr>
        <w:t>比选申请人</w:t>
      </w:r>
      <w:r>
        <w:rPr>
          <w:rFonts w:hint="eastAsia" w:ascii="仿宋_GB2312" w:hAnsi="Times New Roman" w:eastAsia="仿宋_GB2312" w:cs="Times New Roman"/>
          <w:b/>
          <w:bCs/>
          <w:sz w:val="24"/>
          <w:lang w:val="en-US" w:eastAsia="zh-CN"/>
        </w:rPr>
        <w:t>注意</w:t>
      </w:r>
      <w:r>
        <w:rPr>
          <w:rFonts w:hint="eastAsia" w:ascii="仿宋_GB2312" w:eastAsia="仿宋_GB2312" w:cs="Times New Roman"/>
          <w:b/>
          <w:bCs/>
          <w:sz w:val="24"/>
          <w:lang w:val="en-US" w:eastAsia="zh-CN"/>
        </w:rPr>
        <w:t>比选申请文件递交</w:t>
      </w:r>
      <w:r>
        <w:rPr>
          <w:rFonts w:hint="eastAsia" w:ascii="仿宋_GB2312" w:hAnsi="Times New Roman" w:eastAsia="仿宋_GB2312" w:cs="Times New Roman"/>
          <w:b/>
          <w:bCs/>
          <w:sz w:val="24"/>
          <w:lang w:val="en-US" w:eastAsia="zh-CN"/>
        </w:rPr>
        <w:t>截止时间，并尽可能多预留一点邮寄时间，且在邮寄</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后合适的时间致电联系人，核实</w:t>
      </w:r>
      <w:r>
        <w:rPr>
          <w:rFonts w:hint="eastAsia" w:ascii="仿宋_GB2312" w:eastAsia="仿宋_GB2312" w:cs="Times New Roman"/>
          <w:b/>
          <w:bCs/>
          <w:sz w:val="24"/>
          <w:lang w:val="en-US" w:eastAsia="zh-CN"/>
        </w:rPr>
        <w:t>比选申请文件</w:t>
      </w:r>
      <w:r>
        <w:rPr>
          <w:rFonts w:hint="eastAsia" w:ascii="仿宋_GB2312" w:hAnsi="Times New Roman" w:eastAsia="仿宋_GB2312" w:cs="Times New Roman"/>
          <w:b/>
          <w:bCs/>
          <w:sz w:val="24"/>
          <w:lang w:val="en-US" w:eastAsia="zh-CN"/>
        </w:rPr>
        <w:t>是否送达。</w:t>
      </w:r>
    </w:p>
    <w:p w14:paraId="7CE3E257">
      <w:pPr>
        <w:pStyle w:val="2"/>
        <w:spacing w:line="560" w:lineRule="exact"/>
        <w:ind w:firstLine="482" w:firstLineChars="200"/>
        <w:rPr>
          <w:rFonts w:hint="eastAsia" w:ascii="仿宋_GB2312" w:hAnsi="仿宋_GB2312" w:eastAsia="仿宋_GB2312" w:cs="仿宋_GB2312"/>
          <w:sz w:val="24"/>
        </w:rPr>
      </w:pPr>
      <w:r>
        <w:rPr>
          <w:rFonts w:hint="eastAsia" w:ascii="仿宋_GB2312" w:hAnsi="Times New Roman" w:eastAsia="仿宋_GB2312" w:cs="Times New Roman"/>
          <w:b/>
          <w:bCs/>
          <w:snapToGrid/>
          <w:kern w:val="2"/>
          <w:sz w:val="24"/>
          <w:szCs w:val="24"/>
          <w:lang w:val="en-US" w:eastAsia="zh-CN"/>
        </w:rPr>
        <w:t>2.</w:t>
      </w:r>
      <w:r>
        <w:rPr>
          <w:rFonts w:hint="eastAsia" w:ascii="仿宋_GB2312" w:hAnsi="Times New Roman" w:eastAsia="仿宋_GB2312" w:cs="Times New Roman"/>
          <w:b/>
          <w:bCs/>
          <w:snapToGrid/>
          <w:kern w:val="2"/>
          <w:sz w:val="24"/>
          <w:szCs w:val="24"/>
        </w:rPr>
        <w:t xml:space="preserve"> </w:t>
      </w:r>
      <w:r>
        <w:rPr>
          <w:rFonts w:hint="eastAsia" w:ascii="仿宋_GB2312" w:hAnsi="Times New Roman" w:eastAsia="仿宋_GB2312" w:cs="Times New Roman"/>
          <w:b/>
          <w:bCs/>
          <w:sz w:val="24"/>
          <w:szCs w:val="24"/>
        </w:rPr>
        <w:t>邮寄地址：四川省资阳市安岳县永顺镇永安路218号</w:t>
      </w:r>
      <w:r>
        <w:rPr>
          <w:rFonts w:hint="eastAsia" w:ascii="仿宋_GB2312" w:hAnsi="Times New Roman" w:eastAsia="仿宋_GB2312" w:cs="Times New Roman"/>
          <w:b/>
          <w:bCs/>
          <w:sz w:val="24"/>
        </w:rPr>
        <w:t>川投（资阳）燃气发电有限公司</w:t>
      </w:r>
      <w:r>
        <w:rPr>
          <w:rFonts w:hint="eastAsia" w:ascii="仿宋_GB2312" w:hAnsi="Times New Roman" w:eastAsia="仿宋_GB2312" w:cs="Times New Roman"/>
          <w:b/>
          <w:bCs/>
          <w:sz w:val="24"/>
          <w:lang w:val="en-US" w:eastAsia="zh-CN"/>
        </w:rPr>
        <w:t>A大门生产综合楼</w:t>
      </w:r>
      <w:r>
        <w:rPr>
          <w:rFonts w:hint="eastAsia" w:ascii="仿宋_GB2312" w:hAnsi="Times New Roman" w:eastAsia="仿宋_GB2312" w:cs="Times New Roman"/>
          <w:b/>
          <w:bCs/>
          <w:sz w:val="24"/>
        </w:rPr>
        <w:t>2楼（</w:t>
      </w:r>
      <w:r>
        <w:rPr>
          <w:rFonts w:hint="eastAsia" w:ascii="仿宋_GB2312" w:eastAsia="仿宋_GB2312" w:cs="Times New Roman"/>
          <w:b/>
          <w:bCs/>
          <w:sz w:val="24"/>
          <w:lang w:eastAsia="zh-CN"/>
        </w:rPr>
        <w:t>经营管理部</w:t>
      </w:r>
      <w:r>
        <w:rPr>
          <w:rFonts w:hint="eastAsia" w:ascii="仿宋_GB2312" w:hAnsi="Times New Roman" w:eastAsia="仿宋_GB2312" w:cs="Times New Roman"/>
          <w:b/>
          <w:bCs/>
          <w:sz w:val="24"/>
        </w:rPr>
        <w:t>）。</w:t>
      </w:r>
      <w:r>
        <w:rPr>
          <w:rFonts w:hint="eastAsia" w:ascii="仿宋_GB2312" w:hAnsi="仿宋_GB2312" w:eastAsia="仿宋_GB2312" w:cs="仿宋_GB2312"/>
          <w:b/>
          <w:bCs/>
          <w:sz w:val="24"/>
        </w:rPr>
        <w:t>比选申请文件</w:t>
      </w:r>
      <w:r>
        <w:rPr>
          <w:rFonts w:hint="eastAsia" w:ascii="仿宋_GB2312" w:hAnsi="仿宋_GB2312" w:eastAsia="仿宋_GB2312" w:cs="仿宋_GB2312"/>
          <w:b/>
          <w:bCs/>
          <w:sz w:val="24"/>
          <w:u w:val="none"/>
        </w:rPr>
        <w:t>正本1套，副本</w:t>
      </w:r>
      <w:r>
        <w:rPr>
          <w:rFonts w:hint="eastAsia" w:ascii="仿宋_GB2312" w:hAnsi="仿宋_GB2312" w:eastAsia="仿宋_GB2312" w:cs="仿宋_GB2312"/>
          <w:b/>
          <w:bCs/>
          <w:sz w:val="24"/>
          <w:u w:val="none"/>
          <w:lang w:val="en-US" w:eastAsia="zh-CN"/>
        </w:rPr>
        <w:t>1</w:t>
      </w:r>
      <w:r>
        <w:rPr>
          <w:rFonts w:hint="eastAsia" w:ascii="仿宋_GB2312" w:hAnsi="仿宋_GB2312" w:eastAsia="仿宋_GB2312" w:cs="仿宋_GB2312"/>
          <w:b/>
          <w:bCs/>
          <w:sz w:val="24"/>
          <w:u w:val="none"/>
        </w:rPr>
        <w:t>套</w:t>
      </w:r>
      <w:r>
        <w:rPr>
          <w:rFonts w:hint="eastAsia" w:ascii="方正仿宋_GB2312" w:hAnsi="方正仿宋_GB2312" w:eastAsia="方正仿宋_GB2312" w:cs="方正仿宋_GB2312"/>
          <w:sz w:val="24"/>
        </w:rPr>
        <w:t>，</w:t>
      </w:r>
      <w:r>
        <w:rPr>
          <w:rFonts w:hint="eastAsia" w:ascii="仿宋_GB2312" w:hAnsi="仿宋_GB2312" w:eastAsia="仿宋_GB2312" w:cs="仿宋_GB2312"/>
          <w:sz w:val="24"/>
        </w:rPr>
        <w:t>电子文档U盘</w:t>
      </w:r>
      <w:r>
        <w:rPr>
          <w:rFonts w:hint="eastAsia" w:ascii="仿宋_GB2312" w:hAnsi="仿宋_GB2312" w:eastAsia="仿宋_GB2312" w:cs="仿宋_GB2312"/>
          <w:sz w:val="24"/>
          <w:lang w:val="en-US" w:eastAsia="zh-CN"/>
        </w:rPr>
        <w:t>1</w:t>
      </w:r>
      <w:r>
        <w:rPr>
          <w:rFonts w:hint="eastAsia" w:ascii="仿宋_GB2312" w:hAnsi="仿宋_GB2312" w:eastAsia="仿宋_GB2312" w:cs="仿宋_GB2312"/>
          <w:sz w:val="24"/>
        </w:rPr>
        <w:t>个（</w:t>
      </w:r>
      <w:r>
        <w:rPr>
          <w:rFonts w:hint="eastAsia" w:ascii="仿宋_GB2312" w:hAnsi="仿宋_GB2312" w:eastAsia="仿宋_GB2312" w:cs="仿宋_GB2312"/>
          <w:b/>
          <w:bCs/>
          <w:sz w:val="24"/>
        </w:rPr>
        <w:t>内含</w:t>
      </w:r>
      <w:r>
        <w:rPr>
          <w:rFonts w:hint="eastAsia" w:ascii="仿宋_GB2312" w:hAnsi="仿宋_GB2312" w:eastAsia="仿宋_GB2312" w:cs="仿宋_GB2312"/>
          <w:b/>
          <w:bCs/>
          <w:sz w:val="24"/>
          <w:lang w:val="en-US" w:eastAsia="zh-CN"/>
        </w:rPr>
        <w:t>可编辑excel表格的报价明细表、</w:t>
      </w:r>
      <w:r>
        <w:rPr>
          <w:rFonts w:hint="eastAsia" w:ascii="仿宋_GB2312" w:hAnsi="仿宋_GB2312" w:eastAsia="仿宋_GB2312" w:cs="仿宋_GB2312"/>
          <w:b/>
          <w:bCs/>
          <w:sz w:val="24"/>
        </w:rPr>
        <w:t>签字盖章后比选申请文件</w:t>
      </w:r>
      <w:r>
        <w:rPr>
          <w:rFonts w:hint="eastAsia" w:ascii="仿宋_GB2312" w:hAnsi="仿宋_GB2312" w:eastAsia="仿宋_GB2312" w:cs="仿宋_GB2312"/>
          <w:b/>
          <w:bCs/>
          <w:sz w:val="24"/>
          <w:lang w:val="en-US" w:eastAsia="zh-CN"/>
        </w:rPr>
        <w:t>正本</w:t>
      </w:r>
      <w:r>
        <w:rPr>
          <w:rFonts w:hint="eastAsia" w:ascii="仿宋_GB2312" w:hAnsi="仿宋_GB2312" w:eastAsia="仿宋_GB2312" w:cs="仿宋_GB2312"/>
          <w:b/>
          <w:bCs/>
          <w:sz w:val="24"/>
        </w:rPr>
        <w:t>扫描版*.PDF</w:t>
      </w:r>
      <w:r>
        <w:rPr>
          <w:rFonts w:hint="eastAsia" w:ascii="仿宋_GB2312" w:hAnsi="仿宋_GB2312" w:eastAsia="仿宋_GB2312" w:cs="仿宋_GB2312"/>
          <w:sz w:val="24"/>
        </w:rPr>
        <w:t>）。逾期送达或未送达指定地点的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、未按照要求密封的</w:t>
      </w:r>
      <w:r>
        <w:rPr>
          <w:rFonts w:hint="eastAsia" w:ascii="仿宋_GB2312" w:hAnsi="仿宋_GB2312" w:eastAsia="仿宋_GB2312" w:cs="仿宋_GB2312"/>
          <w:b w:val="0"/>
          <w:bCs w:val="0"/>
          <w:sz w:val="24"/>
        </w:rPr>
        <w:t>比选申请文件</w:t>
      </w:r>
      <w:r>
        <w:rPr>
          <w:rFonts w:hint="eastAsia" w:ascii="仿宋_GB2312" w:hAnsi="仿宋_GB2312" w:eastAsia="仿宋_GB2312" w:cs="仿宋_GB2312"/>
          <w:sz w:val="24"/>
        </w:rPr>
        <w:t>，</w:t>
      </w:r>
      <w:r>
        <w:rPr>
          <w:rFonts w:hint="eastAsia" w:ascii="仿宋_GB2312" w:hAnsi="仿宋_GB2312" w:eastAsia="仿宋_GB2312" w:cs="仿宋_GB2312"/>
          <w:sz w:val="24"/>
          <w:lang w:val="en-US" w:eastAsia="zh-CN"/>
        </w:rPr>
        <w:t>比选</w:t>
      </w:r>
      <w:r>
        <w:rPr>
          <w:rFonts w:hint="eastAsia" w:ascii="仿宋_GB2312" w:hAnsi="仿宋_GB2312" w:eastAsia="仿宋_GB2312" w:cs="仿宋_GB2312"/>
          <w:sz w:val="24"/>
        </w:rPr>
        <w:t>人不予受理。</w:t>
      </w:r>
    </w:p>
    <w:p w14:paraId="0BA8185D">
      <w:pPr>
        <w:adjustRightInd/>
        <w:snapToGrid/>
        <w:spacing w:line="560" w:lineRule="exact"/>
        <w:ind w:firstLine="482" w:firstLineChars="200"/>
        <w:outlineLvl w:val="1"/>
        <w:rPr>
          <w:rFonts w:hint="eastAsia" w:ascii="宋体" w:hAnsi="宋体" w:eastAsia="宋体" w:cs="宋体"/>
          <w:b/>
          <w:bCs/>
          <w:sz w:val="24"/>
          <w:szCs w:val="24"/>
        </w:rPr>
      </w:pPr>
      <w:bookmarkStart w:id="13" w:name="_Toc5542"/>
      <w:bookmarkStart w:id="14" w:name="_Toc9816"/>
      <w:bookmarkStart w:id="15" w:name="_Toc30891"/>
      <w:r>
        <w:rPr>
          <w:rFonts w:hint="eastAsia" w:ascii="宋体" w:hAnsi="宋体" w:cs="宋体"/>
          <w:b/>
          <w:bCs/>
          <w:sz w:val="24"/>
          <w:szCs w:val="24"/>
          <w:lang w:val="en-US" w:eastAsia="zh-CN"/>
        </w:rPr>
        <w:t>五</w:t>
      </w:r>
      <w:r>
        <w:rPr>
          <w:rFonts w:hint="eastAsia" w:ascii="宋体" w:hAnsi="宋体" w:eastAsia="宋体" w:cs="宋体"/>
          <w:b/>
          <w:bCs/>
          <w:sz w:val="24"/>
          <w:szCs w:val="24"/>
        </w:rPr>
        <w:t>、发布公告的媒介</w:t>
      </w:r>
      <w:bookmarkEnd w:id="13"/>
      <w:bookmarkEnd w:id="14"/>
      <w:bookmarkEnd w:id="15"/>
    </w:p>
    <w:p w14:paraId="05C44E63">
      <w:pPr>
        <w:spacing w:line="560" w:lineRule="exact"/>
        <w:ind w:firstLine="480"/>
        <w:rPr>
          <w:rFonts w:hint="eastAsia" w:ascii="宋体" w:hAnsi="宋体" w:eastAsia="宋体" w:cs="宋体"/>
        </w:rPr>
      </w:pPr>
      <w:r>
        <w:rPr>
          <w:rFonts w:hint="eastAsia" w:ascii="仿宋_GB2312" w:hAnsi="仿宋_GB2312" w:eastAsia="仿宋_GB2312" w:cs="仿宋_GB2312"/>
          <w:sz w:val="24"/>
          <w:lang w:val="en-US" w:eastAsia="zh-CN"/>
        </w:rPr>
        <w:t>在</w:t>
      </w:r>
      <w:r>
        <w:rPr>
          <w:rFonts w:hint="eastAsia" w:ascii="仿宋_GB2312" w:hAnsi="仿宋_GB2312" w:eastAsia="仿宋_GB2312" w:cs="仿宋_GB2312"/>
          <w:sz w:val="24"/>
        </w:rPr>
        <w:t>天府阳光采购服务平台（http://scig.tfygcgfw.com/）</w:t>
      </w:r>
      <w:r>
        <w:rPr>
          <w:rFonts w:hint="eastAsia" w:ascii="仿宋_GB2312" w:hAnsi="仿宋_GB2312" w:eastAsia="仿宋_GB2312" w:cs="仿宋_GB2312"/>
          <w:sz w:val="24"/>
          <w:lang w:eastAsia="zh-CN"/>
        </w:rPr>
        <w:t>、</w:t>
      </w:r>
      <w:r>
        <w:rPr>
          <w:rFonts w:hint="eastAsia" w:ascii="仿宋_GB2312" w:hAnsi="仿宋_GB2312" w:eastAsia="仿宋_GB2312" w:cs="仿宋_GB2312"/>
          <w:color w:val="auto"/>
          <w:sz w:val="24"/>
        </w:rPr>
        <w:t>川投（资阳）燃气发电有限公司</w:t>
      </w:r>
      <w:r>
        <w:rPr>
          <w:rFonts w:hint="eastAsia" w:ascii="仿宋_GB2312" w:hAnsi="仿宋_GB2312" w:eastAsia="仿宋_GB2312" w:cs="仿宋_GB2312"/>
          <w:sz w:val="24"/>
          <w:lang w:eastAsia="zh-CN"/>
        </w:rPr>
        <w:t>（https://zyqd.invest.com.cn/）</w:t>
      </w:r>
      <w:r>
        <w:rPr>
          <w:rFonts w:hint="eastAsia" w:ascii="仿宋_GB2312" w:hAnsi="仿宋_GB2312" w:eastAsia="仿宋_GB2312" w:cs="仿宋_GB2312"/>
          <w:sz w:val="24"/>
          <w:lang w:val="en-US" w:eastAsia="zh-CN"/>
        </w:rPr>
        <w:t>上</w:t>
      </w:r>
      <w:r>
        <w:rPr>
          <w:rFonts w:hint="eastAsia" w:ascii="仿宋_GB2312" w:hAnsi="仿宋_GB2312" w:eastAsia="仿宋_GB2312" w:cs="仿宋_GB2312"/>
          <w:sz w:val="24"/>
        </w:rPr>
        <w:t>发布</w:t>
      </w:r>
      <w:r>
        <w:rPr>
          <w:rFonts w:hint="eastAsia" w:ascii="仿宋_GB2312" w:hAnsi="仿宋_GB2312" w:eastAsia="仿宋_GB2312" w:cs="仿宋_GB2312"/>
          <w:sz w:val="24"/>
          <w:lang w:val="en-US" w:eastAsia="zh-CN"/>
        </w:rPr>
        <w:t>公告。</w:t>
      </w:r>
    </w:p>
    <w:p w14:paraId="2A7F68C1">
      <w:pPr>
        <w:spacing w:line="560" w:lineRule="exact"/>
        <w:ind w:firstLine="482" w:firstLineChars="200"/>
        <w:outlineLvl w:val="1"/>
        <w:rPr>
          <w:rFonts w:hint="eastAsia" w:ascii="宋体" w:hAnsi="宋体" w:eastAsia="宋体" w:cs="宋体"/>
          <w:b/>
          <w:bCs/>
          <w:sz w:val="24"/>
          <w:szCs w:val="24"/>
        </w:rPr>
      </w:pPr>
      <w:bookmarkStart w:id="16" w:name="_Toc27799"/>
      <w:bookmarkStart w:id="17" w:name="_Toc13188"/>
      <w:bookmarkStart w:id="18" w:name="_Toc17140"/>
      <w:bookmarkStart w:id="19" w:name="bookmark189"/>
      <w:r>
        <w:rPr>
          <w:rFonts w:hint="eastAsia" w:ascii="宋体" w:hAnsi="宋体" w:cs="宋体"/>
          <w:b/>
          <w:bCs/>
          <w:sz w:val="24"/>
          <w:szCs w:val="24"/>
          <w:lang w:val="en-US" w:eastAsia="zh-CN"/>
        </w:rPr>
        <w:t>六</w:t>
      </w:r>
      <w:r>
        <w:rPr>
          <w:rFonts w:hint="eastAsia" w:ascii="宋体" w:hAnsi="宋体" w:eastAsia="宋体" w:cs="宋体"/>
          <w:b/>
          <w:bCs/>
          <w:sz w:val="24"/>
          <w:szCs w:val="24"/>
          <w:lang w:val="en-US" w:eastAsia="zh-CN"/>
        </w:rPr>
        <w:t>、</w:t>
      </w:r>
      <w:r>
        <w:rPr>
          <w:rFonts w:hint="eastAsia" w:ascii="宋体" w:hAnsi="宋体" w:eastAsia="宋体" w:cs="宋体"/>
          <w:b/>
          <w:bCs/>
          <w:sz w:val="24"/>
          <w:szCs w:val="24"/>
        </w:rPr>
        <w:t>联系方式</w:t>
      </w:r>
      <w:bookmarkEnd w:id="16"/>
      <w:bookmarkEnd w:id="17"/>
      <w:bookmarkEnd w:id="18"/>
    </w:p>
    <w:p w14:paraId="0DA70DC5">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lang w:val="en-US" w:eastAsia="zh-CN"/>
        </w:rPr>
        <w:t>比选人</w:t>
      </w:r>
      <w:r>
        <w:rPr>
          <w:rFonts w:hint="eastAsia" w:ascii="仿宋_GB2312" w:hAnsi="仿宋_GB2312" w:eastAsia="仿宋_GB2312" w:cs="仿宋_GB2312"/>
          <w:sz w:val="24"/>
        </w:rPr>
        <w:t>：川投（资阳）燃气发电有限公司</w:t>
      </w:r>
    </w:p>
    <w:p w14:paraId="5B7260C8">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地  址：四川省资阳市安岳县永顺镇永安路218号川投（资阳）燃气发电有限公司</w:t>
      </w:r>
      <w:r>
        <w:rPr>
          <w:rFonts w:hint="eastAsia" w:ascii="仿宋_GB2312" w:hAnsi="仿宋_GB2312" w:eastAsia="仿宋_GB2312" w:cs="仿宋_GB2312"/>
          <w:sz w:val="24"/>
          <w:lang w:val="en-US" w:eastAsia="zh-CN"/>
        </w:rPr>
        <w:t>A大门生产综合楼</w:t>
      </w:r>
      <w:r>
        <w:rPr>
          <w:rFonts w:hint="eastAsia" w:ascii="仿宋_GB2312" w:hAnsi="仿宋_GB2312" w:eastAsia="仿宋_GB2312" w:cs="仿宋_GB2312"/>
          <w:sz w:val="24"/>
        </w:rPr>
        <w:t>2楼（</w:t>
      </w:r>
      <w:r>
        <w:rPr>
          <w:rFonts w:hint="eastAsia" w:ascii="仿宋_GB2312" w:hAnsi="仿宋_GB2312" w:eastAsia="仿宋_GB2312" w:cs="仿宋_GB2312"/>
          <w:sz w:val="24"/>
          <w:lang w:eastAsia="zh-CN"/>
        </w:rPr>
        <w:t>经营管理部</w:t>
      </w:r>
      <w:r>
        <w:rPr>
          <w:rFonts w:hint="eastAsia" w:ascii="仿宋_GB2312" w:hAnsi="仿宋_GB2312" w:eastAsia="仿宋_GB2312" w:cs="仿宋_GB2312"/>
          <w:sz w:val="24"/>
        </w:rPr>
        <w:t>）</w:t>
      </w:r>
    </w:p>
    <w:p w14:paraId="2F5B60EF">
      <w:pPr>
        <w:spacing w:line="560" w:lineRule="exact"/>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 xml:space="preserve">邮政编码：642350    </w:t>
      </w:r>
    </w:p>
    <w:p w14:paraId="588F5CDB">
      <w:pPr>
        <w:tabs>
          <w:tab w:val="left" w:pos="7740"/>
        </w:tabs>
        <w:spacing w:line="560" w:lineRule="exact"/>
        <w:ind w:firstLine="480" w:firstLineChars="200"/>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rPr>
        <w:t>联 系 人：</w:t>
      </w:r>
      <w:r>
        <w:rPr>
          <w:rFonts w:hint="eastAsia" w:ascii="仿宋_GB2312" w:hAnsi="仿宋_GB2312" w:eastAsia="仿宋_GB2312" w:cs="仿宋_GB2312"/>
          <w:sz w:val="24"/>
          <w:lang w:val="en-US" w:eastAsia="zh-CN"/>
        </w:rPr>
        <w:t>刘老师</w:t>
      </w:r>
    </w:p>
    <w:p w14:paraId="6AD60473">
      <w:pPr>
        <w:pStyle w:val="4"/>
        <w:ind w:firstLine="480" w:firstLineChars="200"/>
        <w:rPr>
          <w:rFonts w:hint="default"/>
          <w:lang w:val="en-US"/>
        </w:rPr>
      </w:pPr>
      <w:r>
        <w:rPr>
          <w:rFonts w:hint="eastAsia" w:ascii="仿宋_GB2312" w:hAnsi="仿宋_GB2312" w:eastAsia="仿宋_GB2312" w:cs="仿宋_GB2312"/>
          <w:sz w:val="24"/>
          <w:lang w:val="en-US" w:eastAsia="zh-CN"/>
        </w:rPr>
        <w:t>邮    箱：370422941@qq.com</w:t>
      </w:r>
    </w:p>
    <w:p w14:paraId="4D1F36BE">
      <w:pPr>
        <w:tabs>
          <w:tab w:val="left" w:pos="7740"/>
        </w:tabs>
        <w:spacing w:line="560" w:lineRule="exact"/>
        <w:ind w:firstLine="480" w:firstLineChars="200"/>
        <w:rPr>
          <w:rFonts w:hint="default" w:ascii="仿宋_GB2312" w:hAnsi="仿宋_GB2312" w:eastAsia="仿宋_GB2312" w:cs="仿宋_GB2312"/>
          <w:sz w:val="24"/>
          <w:lang w:val="en-US"/>
        </w:rPr>
      </w:pPr>
      <w:r>
        <w:rPr>
          <w:rFonts w:hint="eastAsia" w:ascii="仿宋_GB2312" w:hAnsi="仿宋_GB2312" w:eastAsia="仿宋_GB2312" w:cs="仿宋_GB2312"/>
          <w:sz w:val="24"/>
        </w:rPr>
        <w:t>电    话：</w:t>
      </w:r>
      <w:r>
        <w:rPr>
          <w:rFonts w:hint="eastAsia" w:ascii="仿宋_GB2312" w:hAnsi="仿宋_GB2312" w:eastAsia="仿宋_GB2312" w:cs="仿宋_GB2312"/>
          <w:sz w:val="24"/>
          <w:lang w:val="en-US" w:eastAsia="zh-CN"/>
        </w:rPr>
        <w:t>028-24061206</w:t>
      </w:r>
    </w:p>
    <w:p w14:paraId="0A06243B">
      <w:pPr>
        <w:tabs>
          <w:tab w:val="left" w:pos="7740"/>
        </w:tabs>
        <w:spacing w:line="560" w:lineRule="exact"/>
        <w:ind w:firstLine="5040" w:firstLineChars="2100"/>
        <w:jc w:val="right"/>
        <w:rPr>
          <w:rFonts w:hint="eastAsia" w:ascii="仿宋_GB2312" w:hAnsi="仿宋_GB2312" w:eastAsia="仿宋_GB2312" w:cs="仿宋_GB2312"/>
          <w:sz w:val="24"/>
        </w:rPr>
      </w:pPr>
    </w:p>
    <w:p w14:paraId="727633E6">
      <w:pPr>
        <w:tabs>
          <w:tab w:val="left" w:pos="7740"/>
        </w:tabs>
        <w:spacing w:line="560" w:lineRule="exact"/>
        <w:ind w:firstLine="5040" w:firstLineChars="2100"/>
        <w:jc w:val="right"/>
        <w:rPr>
          <w:rFonts w:hint="eastAsia" w:ascii="仿宋_GB2312" w:hAnsi="仿宋_GB2312" w:eastAsia="仿宋_GB2312" w:cs="仿宋_GB2312"/>
          <w:sz w:val="24"/>
        </w:rPr>
      </w:pPr>
    </w:p>
    <w:p w14:paraId="47695D5B">
      <w:pPr>
        <w:tabs>
          <w:tab w:val="left" w:pos="7740"/>
        </w:tabs>
        <w:spacing w:line="560" w:lineRule="exact"/>
        <w:ind w:firstLine="5040" w:firstLineChars="2100"/>
        <w:jc w:val="right"/>
        <w:rPr>
          <w:rFonts w:hint="eastAsia" w:ascii="仿宋_GB2312" w:hAnsi="仿宋_GB2312" w:eastAsia="仿宋_GB2312" w:cs="仿宋_GB2312"/>
          <w:sz w:val="24"/>
        </w:rPr>
      </w:pPr>
      <w:r>
        <w:rPr>
          <w:rFonts w:hint="eastAsia" w:ascii="仿宋_GB2312" w:hAnsi="仿宋_GB2312" w:eastAsia="仿宋_GB2312" w:cs="仿宋_GB2312"/>
          <w:sz w:val="24"/>
        </w:rPr>
        <w:t>川投（资阳）燃气发电有限公司</w:t>
      </w:r>
    </w:p>
    <w:p w14:paraId="5AA1BCED">
      <w:pPr>
        <w:pStyle w:val="2"/>
        <w:spacing w:line="560" w:lineRule="exact"/>
        <w:jc w:val="center"/>
        <w:rPr>
          <w:rFonts w:hint="eastAsia" w:ascii="宋体" w:hAnsi="宋体" w:eastAsia="宋体" w:cs="宋体"/>
          <w:sz w:val="24"/>
        </w:rPr>
      </w:pPr>
      <w:r>
        <w:rPr>
          <w:rFonts w:hint="eastAsia" w:ascii="仿宋_GB2312" w:hAnsi="仿宋_GB2312" w:eastAsia="仿宋_GB2312" w:cs="仿宋_GB2312"/>
          <w:sz w:val="24"/>
          <w:lang w:val="en-US" w:eastAsia="zh-CN"/>
        </w:rPr>
        <w:t xml:space="preserve">                                              </w:t>
      </w:r>
      <w:r>
        <w:rPr>
          <w:rFonts w:hint="eastAsia" w:ascii="仿宋_GB2312" w:hAnsi="仿宋_GB2312" w:eastAsia="仿宋_GB2312" w:cs="仿宋_GB2312"/>
          <w:sz w:val="24"/>
        </w:rPr>
        <w:t>202</w:t>
      </w:r>
      <w:r>
        <w:rPr>
          <w:rFonts w:hint="eastAsia" w:ascii="仿宋_GB2312" w:hAnsi="仿宋_GB2312" w:eastAsia="仿宋_GB2312" w:cs="仿宋_GB2312"/>
          <w:sz w:val="24"/>
          <w:lang w:val="en-US" w:eastAsia="zh-CN"/>
        </w:rPr>
        <w:t>5</w:t>
      </w:r>
      <w:r>
        <w:rPr>
          <w:rFonts w:hint="eastAsia" w:ascii="仿宋_GB2312" w:hAnsi="仿宋_GB2312" w:eastAsia="仿宋_GB2312" w:cs="仿宋_GB2312"/>
          <w:sz w:val="24"/>
        </w:rPr>
        <w:t>年</w:t>
      </w:r>
      <w:r>
        <w:rPr>
          <w:rFonts w:hint="eastAsia" w:ascii="仿宋_GB2312" w:hAnsi="仿宋_GB2312" w:eastAsia="仿宋_GB2312" w:cs="仿宋_GB2312"/>
          <w:sz w:val="24"/>
          <w:lang w:val="en-US" w:eastAsia="zh-CN"/>
        </w:rPr>
        <w:t>3</w:t>
      </w:r>
      <w:r>
        <w:rPr>
          <w:rFonts w:hint="eastAsia" w:ascii="仿宋_GB2312" w:hAnsi="仿宋_GB2312" w:eastAsia="仿宋_GB2312" w:cs="仿宋_GB2312"/>
          <w:sz w:val="24"/>
        </w:rPr>
        <w:t>月</w:t>
      </w:r>
      <w:r>
        <w:rPr>
          <w:rFonts w:hint="eastAsia" w:ascii="仿宋_GB2312" w:hAnsi="仿宋_GB2312" w:eastAsia="仿宋_GB2312" w:cs="仿宋_GB2312"/>
          <w:sz w:val="24"/>
          <w:lang w:val="en-US" w:eastAsia="zh-CN"/>
        </w:rPr>
        <w:t xml:space="preserve">27 </w:t>
      </w:r>
      <w:r>
        <w:rPr>
          <w:rFonts w:hint="eastAsia" w:ascii="仿宋_GB2312" w:hAnsi="仿宋_GB2312" w:eastAsia="仿宋_GB2312" w:cs="仿宋_GB2312"/>
          <w:sz w:val="24"/>
        </w:rPr>
        <w:t>日</w:t>
      </w:r>
    </w:p>
    <w:bookmarkEnd w:id="19"/>
    <w:p w14:paraId="457377C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F1D5764B-307F-4036-861F-B5E3BDAAF5F1}"/>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D77B8D42-BB07-409C-8C50-948D106364F0}"/>
  </w:font>
  <w:font w:name="方正仿宋_GB2312">
    <w:panose1 w:val="02000000000000000000"/>
    <w:charset w:val="86"/>
    <w:family w:val="auto"/>
    <w:pitch w:val="default"/>
    <w:sig w:usb0="A00002BF" w:usb1="184F6CFA" w:usb2="00000012" w:usb3="00000000" w:csb0="00040001" w:csb1="00000000"/>
    <w:embedRegular r:id="rId3" w:fontKey="{3C763F59-0F90-427A-BD2C-8AF9D5D683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5117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4"/>
    <w:basedOn w:val="1"/>
    <w:next w:val="1"/>
    <w:qFormat/>
    <w:uiPriority w:val="0"/>
    <w:pPr>
      <w:snapToGrid w:val="0"/>
      <w:spacing w:line="440" w:lineRule="atLeast"/>
      <w:outlineLvl w:val="3"/>
    </w:pPr>
    <w:rPr>
      <w:bCs/>
      <w:kern w:val="0"/>
      <w:sz w:val="24"/>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Subtitle"/>
    <w:basedOn w:val="1"/>
    <w:next w:val="1"/>
    <w:qFormat/>
    <w:uiPriority w:val="0"/>
    <w:pPr>
      <w:spacing w:before="240" w:after="60" w:line="312" w:lineRule="auto"/>
      <w:jc w:val="center"/>
      <w:outlineLvl w:val="1"/>
    </w:pPr>
    <w:rPr>
      <w:rFonts w:ascii="Cambria" w:hAnsi="Cambria" w:cs="黑体"/>
      <w:b/>
      <w:bCs/>
      <w:kern w:val="28"/>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2025-03-27T06:32:42Z</dcterms:created>
  <dc:creator>Lenovo</dc:creator>
  <cp:lastModifiedBy>殷子渊</cp:lastModifiedBy>
  <dcterms:modified xsi:type="dcterms:W3CDTF">2025-03-27T06:33:40Z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eyJoZGlkIjoiODRmMDQ2OGVjN2UwNWQ2MzJjODk5NmMyNmFmNDQxYTIiLCJ1c2VySWQiOiIzNjg4MjY3MTcifQ==</vt:lpwstr>
  </property>
  <property fmtid="{D5CDD505-2E9C-101B-9397-08002B2CF9AE}" pid="4" name="ICV">
    <vt:lpwstr>BE3AFE915F8B4FBDA10B158F4E5FFFC6_12</vt:lpwstr>
  </property>
</Properties>
</file>