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0E76E">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b/>
          <w:sz w:val="36"/>
          <w:szCs w:val="36"/>
        </w:rPr>
      </w:pPr>
      <w:r>
        <w:rPr>
          <w:rFonts w:hint="eastAsia"/>
          <w:b/>
          <w:sz w:val="44"/>
          <w:szCs w:val="44"/>
        </w:rPr>
        <w:t>川投（资阳）燃气发电有限公司</w:t>
      </w:r>
    </w:p>
    <w:p w14:paraId="63A1A632">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default"/>
          <w:b/>
          <w:sz w:val="44"/>
          <w:szCs w:val="44"/>
          <w:lang w:val="en-US"/>
        </w:rPr>
      </w:pPr>
      <w:r>
        <w:rPr>
          <w:rFonts w:hint="eastAsia"/>
          <w:b/>
          <w:sz w:val="44"/>
          <w:szCs w:val="44"/>
          <w:lang w:eastAsia="zh-CN"/>
        </w:rPr>
        <w:t>工具间物资</w:t>
      </w:r>
      <w:r>
        <w:rPr>
          <w:rFonts w:hint="eastAsia"/>
          <w:b/>
          <w:sz w:val="44"/>
          <w:szCs w:val="44"/>
          <w:lang w:val="en-US" w:eastAsia="zh-CN"/>
        </w:rPr>
        <w:t>采购 比选公告</w:t>
      </w:r>
    </w:p>
    <w:p w14:paraId="064F8C32">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w:t>
      </w:r>
      <w:bookmarkStart w:id="25" w:name="_GoBack"/>
      <w:bookmarkEnd w:id="25"/>
      <w:r>
        <w:rPr>
          <w:rFonts w:hint="eastAsia" w:ascii="仿宋_GB2312" w:eastAsia="仿宋_GB2312"/>
          <w:sz w:val="24"/>
        </w:rPr>
        <w:t>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r>
        <w:rPr>
          <w:rFonts w:hint="eastAsia" w:ascii="仿宋_GB2312" w:eastAsia="仿宋_GB2312"/>
          <w:sz w:val="24"/>
          <w:lang w:val="en-US" w:eastAsia="zh-CN"/>
        </w:rPr>
        <w:t>已分别于2024年6月、9月建成投产</w:t>
      </w:r>
      <w:r>
        <w:rPr>
          <w:rFonts w:hint="eastAsia" w:ascii="仿宋_GB2312" w:eastAsia="仿宋_GB2312"/>
          <w:sz w:val="24"/>
          <w:lang w:eastAsia="zh-CN"/>
        </w:rPr>
        <w:t>。</w:t>
      </w:r>
    </w:p>
    <w:p w14:paraId="7F8F0A6B">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工具间物资</w:t>
      </w:r>
      <w:r>
        <w:rPr>
          <w:rFonts w:hint="eastAsia" w:ascii="仿宋_GB2312" w:eastAsia="仿宋_GB2312"/>
          <w:sz w:val="24"/>
          <w:lang w:val="en-US" w:eastAsia="zh-CN"/>
        </w:rPr>
        <w:t>采购</w:t>
      </w:r>
      <w:r>
        <w:rPr>
          <w:rFonts w:hint="eastAsia" w:ascii="仿宋_GB2312" w:eastAsia="仿宋_GB2312"/>
          <w:sz w:val="24"/>
        </w:rPr>
        <w:t>中标人，欢迎符合条件的潜在申请人参加比选活动。</w:t>
      </w:r>
    </w:p>
    <w:p w14:paraId="0085F1F0">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633"/>
      <w:bookmarkStart w:id="1" w:name="_Toc29571"/>
      <w:bookmarkStart w:id="2" w:name="_Toc12189"/>
      <w:bookmarkStart w:id="3" w:name="_Toc4087"/>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bookmarkEnd w:id="3"/>
    </w:p>
    <w:p w14:paraId="4F17AB20">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为确保运营期机组的正常运行，现需采购一批工具间物资，采购清单如下：</w:t>
      </w:r>
    </w:p>
    <w:tbl>
      <w:tblPr>
        <w:tblStyle w:val="5"/>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1286"/>
        <w:gridCol w:w="1492"/>
        <w:gridCol w:w="1992"/>
        <w:gridCol w:w="816"/>
        <w:gridCol w:w="998"/>
        <w:gridCol w:w="1792"/>
      </w:tblGrid>
      <w:tr w14:paraId="3AB1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174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B2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物资编码</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8E4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物资名称</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04E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规格型号</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836F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298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审核数量</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0CC2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r>
      <w:tr w14:paraId="453A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F54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AF3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020400116</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5E6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集装箱</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E4BF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长20英尺、宽8英尺、高8.6英尺</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EE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35E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577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干货集装箱，两端开门，符合标准GB/T 1413-2023。（需包括集装箱卸车费用）</w:t>
            </w:r>
          </w:p>
        </w:tc>
      </w:tr>
      <w:tr w14:paraId="44E7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107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B111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020400115</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709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货架</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06BB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总高1900mm  深度600mm  长度1800mm</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738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173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1F6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三层货架，组装式，立柱尺寸55*57*2.0，横梁:P80*40*2.0，层板厚度大于2mm，所有材质均为Q235B，每层载重1000KG以上，喷漆处理</w:t>
            </w:r>
          </w:p>
        </w:tc>
      </w:tr>
      <w:tr w14:paraId="20F8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2A9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7F9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020400114</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54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帆布</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6BCA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PVC涂层帆布，长12米，宽10米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6A1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9FB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BA4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600g/㎡，双面防水，临边1米一个金属孔眼，PP绳边缘加固，颜色主选灰色或其它颜色</w:t>
            </w:r>
          </w:p>
        </w:tc>
      </w:tr>
    </w:tbl>
    <w:p w14:paraId="1345BFDF">
      <w:pPr>
        <w:pStyle w:val="2"/>
        <w:rPr>
          <w:rFonts w:hint="eastAsia"/>
          <w:lang w:val="en-US" w:eastAsia="zh-CN"/>
        </w:rPr>
      </w:pPr>
    </w:p>
    <w:p w14:paraId="24C31CE4">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供货周期：暂定2025年4月30日前到货（具体供货时间以买方实际要求为准）。</w:t>
      </w:r>
    </w:p>
    <w:p w14:paraId="49AA084A">
      <w:pPr>
        <w:spacing w:line="560" w:lineRule="exact"/>
        <w:ind w:firstLine="482" w:firstLineChars="200"/>
        <w:outlineLvl w:val="1"/>
        <w:rPr>
          <w:rFonts w:hint="eastAsia" w:ascii="宋体" w:hAnsi="宋体" w:eastAsia="宋体" w:cs="宋体"/>
          <w:b/>
          <w:bCs/>
          <w:kern w:val="2"/>
          <w:sz w:val="24"/>
        </w:rPr>
      </w:pPr>
      <w:bookmarkStart w:id="4" w:name="_Toc19983"/>
      <w:bookmarkStart w:id="5" w:name="_Toc32737"/>
      <w:bookmarkStart w:id="6" w:name="_Toc23118"/>
      <w:bookmarkStart w:id="7" w:name="_Toc14610"/>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4"/>
      <w:bookmarkEnd w:id="5"/>
      <w:bookmarkEnd w:id="6"/>
      <w:bookmarkEnd w:id="7"/>
    </w:p>
    <w:p w14:paraId="7EE6E7D3">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具备独立法人资格，具有有效的营业执照;</w:t>
      </w:r>
    </w:p>
    <w:p w14:paraId="11C63926">
      <w:pPr>
        <w:spacing w:line="540" w:lineRule="exact"/>
        <w:ind w:firstLine="482" w:firstLineChars="200"/>
        <w:outlineLvl w:val="1"/>
        <w:rPr>
          <w:rFonts w:hint="eastAsia" w:ascii="宋体" w:hAnsi="宋体" w:eastAsia="宋体" w:cs="宋体"/>
          <w:b/>
          <w:bCs/>
          <w:kern w:val="2"/>
          <w:sz w:val="24"/>
        </w:rPr>
      </w:pPr>
      <w:bookmarkStart w:id="8" w:name="_Toc17293"/>
      <w:bookmarkStart w:id="9" w:name="_Toc28798"/>
      <w:bookmarkStart w:id="10" w:name="_Toc22982"/>
      <w:bookmarkStart w:id="11" w:name="_Toc12307"/>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8"/>
      <w:bookmarkEnd w:id="9"/>
      <w:bookmarkEnd w:id="10"/>
      <w:bookmarkEnd w:id="11"/>
    </w:p>
    <w:p w14:paraId="106494C8">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w:t>
      </w:r>
      <w:r>
        <w:rPr>
          <w:rFonts w:hint="eastAsia" w:ascii="仿宋_GB2312" w:hAnsi="仿宋_GB2312" w:eastAsia="仿宋_GB2312" w:cs="仿宋_GB2312"/>
          <w:color w:val="FF0000"/>
          <w:sz w:val="24"/>
          <w:highlight w:val="yellow"/>
          <w:lang w:val="en-US" w:eastAsia="zh-CN"/>
        </w:rPr>
        <w:t>5</w:t>
      </w:r>
      <w:r>
        <w:rPr>
          <w:rFonts w:hint="eastAsia" w:ascii="仿宋_GB2312" w:hAnsi="仿宋_GB2312" w:eastAsia="仿宋_GB2312" w:cs="仿宋_GB2312"/>
          <w:color w:val="FF0000"/>
          <w:sz w:val="24"/>
          <w:highlight w:val="yellow"/>
        </w:rPr>
        <w:t>年</w:t>
      </w:r>
      <w:r>
        <w:rPr>
          <w:rFonts w:hint="eastAsia" w:ascii="仿宋_GB2312" w:hAnsi="仿宋_GB2312" w:eastAsia="仿宋_GB2312" w:cs="仿宋_GB2312"/>
          <w:color w:val="FF0000"/>
          <w:sz w:val="24"/>
          <w:highlight w:val="yellow"/>
          <w:lang w:val="en-US" w:eastAsia="zh-CN"/>
        </w:rPr>
        <w:t>4</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 xml:space="preserve">5 </w:t>
      </w:r>
      <w:r>
        <w:rPr>
          <w:rFonts w:hint="eastAsia" w:ascii="仿宋_GB2312" w:hAnsi="仿宋_GB2312" w:eastAsia="仿宋_GB2312" w:cs="仿宋_GB2312"/>
          <w:color w:val="FF0000"/>
          <w:sz w:val="24"/>
          <w:highlight w:val="yellow"/>
        </w:rPr>
        <w:t>日</w:t>
      </w:r>
      <w:r>
        <w:rPr>
          <w:rFonts w:hint="eastAsia" w:ascii="仿宋_GB2312" w:hAnsi="仿宋_GB2312" w:eastAsia="仿宋_GB2312" w:cs="仿宋_GB2312"/>
          <w:color w:val="FF0000"/>
          <w:sz w:val="24"/>
          <w:highlight w:val="yellow"/>
          <w:lang w:val="en-US" w:eastAsia="zh-CN"/>
        </w:rPr>
        <w:t>17</w:t>
      </w:r>
      <w:r>
        <w:rPr>
          <w:rFonts w:hint="eastAsia" w:ascii="仿宋_GB2312" w:hAnsi="仿宋_GB2312" w:eastAsia="仿宋_GB2312" w:cs="仿宋_GB2312"/>
          <w:color w:val="FF0000"/>
          <w:sz w:val="24"/>
          <w:highlight w:val="yellow"/>
        </w:rPr>
        <w:t>时</w:t>
      </w:r>
      <w:r>
        <w:rPr>
          <w:rFonts w:hint="eastAsia" w:ascii="仿宋_GB2312" w:hAnsi="仿宋_GB2312" w:eastAsia="仿宋_GB2312" w:cs="仿宋_GB2312"/>
          <w:sz w:val="24"/>
        </w:rPr>
        <w:t>之前登录天府阳光采购平台（http://scig.tfygcgfw.com/），完成注册</w:t>
      </w:r>
      <w:r>
        <w:rPr>
          <w:rFonts w:hint="eastAsia" w:ascii="仿宋_GB2312" w:hAnsi="仿宋_GB2312" w:eastAsia="仿宋_GB2312" w:cs="仿宋_GB2312"/>
          <w:sz w:val="24"/>
          <w:lang w:val="en-US" w:eastAsia="zh-CN"/>
        </w:rPr>
        <w:t>报名</w:t>
      </w:r>
      <w:r>
        <w:rPr>
          <w:rFonts w:hint="eastAsia" w:ascii="仿宋_GB2312" w:hAnsi="仿宋_GB2312" w:eastAsia="仿宋_GB2312" w:cs="仿宋_GB2312"/>
          <w:sz w:val="24"/>
        </w:rPr>
        <w:t>下载比选资料（比选文件等）。</w:t>
      </w:r>
    </w:p>
    <w:p w14:paraId="40376AA1">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75D8C3CE">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5649A657">
      <w:pPr>
        <w:spacing w:line="560" w:lineRule="exact"/>
        <w:ind w:firstLine="482" w:firstLineChars="200"/>
        <w:outlineLvl w:val="1"/>
        <w:rPr>
          <w:rFonts w:hint="eastAsia" w:ascii="宋体" w:hAnsi="宋体" w:eastAsia="宋体" w:cs="宋体"/>
          <w:b/>
          <w:bCs/>
          <w:kern w:val="2"/>
          <w:sz w:val="24"/>
        </w:rPr>
      </w:pPr>
      <w:bookmarkStart w:id="12" w:name="_Toc21487"/>
      <w:bookmarkStart w:id="13" w:name="_Toc28043"/>
      <w:bookmarkStart w:id="14" w:name="_Toc4815"/>
      <w:bookmarkStart w:id="15" w:name="_Toc1853"/>
      <w:r>
        <w:rPr>
          <w:rFonts w:hint="eastAsia" w:ascii="宋体" w:hAnsi="宋体" w:eastAsia="宋体" w:cs="宋体"/>
          <w:b/>
          <w:bCs/>
          <w:kern w:val="2"/>
          <w:sz w:val="24"/>
        </w:rPr>
        <w:t>四、递交比选申请文件截止时间及地点</w:t>
      </w:r>
      <w:bookmarkEnd w:id="12"/>
      <w:bookmarkEnd w:id="13"/>
      <w:bookmarkEnd w:id="14"/>
      <w:bookmarkEnd w:id="15"/>
    </w:p>
    <w:p w14:paraId="3E291D15">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w:t>
      </w:r>
      <w:r>
        <w:rPr>
          <w:rFonts w:hint="eastAsia" w:ascii="仿宋_GB2312" w:hAnsi="仿宋_GB2312" w:eastAsia="仿宋_GB2312" w:cs="仿宋_GB2312"/>
          <w:b/>
          <w:bCs/>
          <w:sz w:val="24"/>
          <w:highlight w:val="yellow"/>
          <w:lang w:val="en-US" w:eastAsia="zh-CN"/>
        </w:rPr>
        <w:t>5</w:t>
      </w:r>
      <w:r>
        <w:rPr>
          <w:rFonts w:hint="eastAsia" w:ascii="仿宋_GB2312" w:hAnsi="仿宋_GB2312" w:eastAsia="仿宋_GB2312" w:cs="仿宋_GB2312"/>
          <w:b/>
          <w:bCs/>
          <w:sz w:val="24"/>
          <w:highlight w:val="yellow"/>
        </w:rPr>
        <w:t>年</w:t>
      </w:r>
      <w:r>
        <w:rPr>
          <w:rFonts w:hint="eastAsia" w:ascii="仿宋_GB2312" w:hAnsi="仿宋_GB2312" w:eastAsia="仿宋_GB2312" w:cs="仿宋_GB2312"/>
          <w:b/>
          <w:bCs/>
          <w:sz w:val="24"/>
          <w:highlight w:val="yellow"/>
          <w:u w:val="none"/>
          <w:lang w:val="en-US" w:eastAsia="zh-CN"/>
        </w:rPr>
        <w:t>4</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11</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10</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00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1AFAEE16">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w:t>
      </w:r>
      <w:r>
        <w:rPr>
          <w:rFonts w:hint="eastAsia" w:ascii="仿宋_GB2312" w:eastAsia="仿宋_GB2312"/>
          <w:b/>
          <w:bCs/>
          <w:sz w:val="24"/>
          <w:lang w:eastAsia="zh-CN"/>
        </w:rPr>
        <w:t>经营管理部</w:t>
      </w:r>
      <w:r>
        <w:rPr>
          <w:rFonts w:hint="eastAsia" w:ascii="仿宋_GB2312" w:hAnsi="Times New Roman" w:eastAsia="仿宋_GB2312" w:cs="Times New Roman"/>
          <w:b/>
          <w:bCs/>
          <w:sz w:val="24"/>
        </w:rPr>
        <w:t>），时间以比选人签收时间为准</w:t>
      </w:r>
      <w:r>
        <w:rPr>
          <w:rFonts w:hint="eastAsia" w:ascii="仿宋_GB2312" w:hAnsi="Times New Roman" w:eastAsia="仿宋_GB2312" w:cs="Times New Roman"/>
          <w:b/>
          <w:bCs/>
          <w:sz w:val="24"/>
          <w:lang w:eastAsia="zh-CN"/>
        </w:rPr>
        <w:t>。</w:t>
      </w:r>
    </w:p>
    <w:p w14:paraId="5E6237DE">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w:t>
      </w:r>
      <w:r>
        <w:rPr>
          <w:rFonts w:hint="eastAsia" w:ascii="仿宋_GB2312" w:eastAsia="仿宋_GB2312" w:cs="Times New Roman"/>
          <w:b/>
          <w:bCs/>
          <w:sz w:val="24"/>
          <w:lang w:val="en-US" w:eastAsia="zh-CN"/>
        </w:rPr>
        <w:t>选</w:t>
      </w:r>
      <w:r>
        <w:rPr>
          <w:rFonts w:hint="eastAsia" w:ascii="仿宋_GB2312" w:hAnsi="Times New Roman" w:eastAsia="仿宋_GB2312" w:cs="Times New Roman"/>
          <w:b/>
          <w:bCs/>
          <w:sz w:val="24"/>
        </w:rPr>
        <w:t>、评</w:t>
      </w:r>
      <w:r>
        <w:rPr>
          <w:rFonts w:hint="eastAsia" w:ascii="仿宋_GB2312" w:eastAsia="仿宋_GB2312" w:cs="Times New Roman"/>
          <w:b/>
          <w:bCs/>
          <w:sz w:val="24"/>
          <w:lang w:val="en-US" w:eastAsia="zh-CN"/>
        </w:rPr>
        <w:t>审</w:t>
      </w:r>
      <w:r>
        <w:rPr>
          <w:rFonts w:hint="eastAsia" w:ascii="仿宋_GB2312" w:hAnsi="Times New Roman" w:eastAsia="仿宋_GB2312" w:cs="Times New Roman"/>
          <w:b/>
          <w:bCs/>
          <w:sz w:val="24"/>
        </w:rPr>
        <w:t>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eastAsia="仿宋_GB2312" w:cs="Times New Roman"/>
          <w:b/>
          <w:bCs/>
          <w:sz w:val="24"/>
          <w:lang w:val="en-US" w:eastAsia="zh-CN"/>
        </w:rPr>
        <w:t>该比选申请文件</w:t>
      </w:r>
      <w:r>
        <w:rPr>
          <w:rFonts w:hint="eastAsia" w:ascii="仿宋_GB2312" w:hAnsi="Times New Roman" w:eastAsia="仿宋_GB2312" w:cs="Times New Roman"/>
          <w:b/>
          <w:bCs/>
          <w:sz w:val="24"/>
          <w:lang w:val="en-US" w:eastAsia="zh-CN"/>
        </w:rPr>
        <w:t>作无效文件处理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w:t>
      </w:r>
      <w:r>
        <w:rPr>
          <w:rFonts w:hint="eastAsia" w:ascii="仿宋_GB2312" w:eastAsia="仿宋_GB2312" w:cs="Times New Roman"/>
          <w:b/>
          <w:bCs/>
          <w:sz w:val="24"/>
          <w:lang w:val="en-US" w:eastAsia="zh-CN"/>
        </w:rPr>
        <w:t>比选申请文件递交</w:t>
      </w:r>
      <w:r>
        <w:rPr>
          <w:rFonts w:hint="eastAsia" w:ascii="仿宋_GB2312" w:hAnsi="Times New Roman" w:eastAsia="仿宋_GB2312" w:cs="Times New Roman"/>
          <w:b/>
          <w:bCs/>
          <w:sz w:val="24"/>
          <w:lang w:val="en-US" w:eastAsia="zh-CN"/>
        </w:rPr>
        <w:t>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0194A07D">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w:t>
      </w:r>
      <w:r>
        <w:rPr>
          <w:rFonts w:hint="eastAsia" w:ascii="仿宋_GB2312" w:eastAsia="仿宋_GB2312" w:cs="Times New Roman"/>
          <w:b/>
          <w:bCs/>
          <w:sz w:val="24"/>
          <w:lang w:eastAsia="zh-CN"/>
        </w:rPr>
        <w:t>经营管理部</w:t>
      </w:r>
      <w:r>
        <w:rPr>
          <w:rFonts w:hint="eastAsia" w:ascii="仿宋_GB2312" w:hAnsi="Times New Roman" w:eastAsia="仿宋_GB2312" w:cs="Times New Roman"/>
          <w:b/>
          <w:bCs/>
          <w:sz w:val="24"/>
        </w:rPr>
        <w:t>）。</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58BCD6DF">
      <w:pPr>
        <w:adjustRightInd/>
        <w:snapToGrid/>
        <w:spacing w:line="560" w:lineRule="exact"/>
        <w:ind w:firstLine="482" w:firstLineChars="200"/>
        <w:outlineLvl w:val="1"/>
        <w:rPr>
          <w:rFonts w:hint="eastAsia" w:ascii="宋体" w:hAnsi="宋体" w:eastAsia="宋体" w:cs="宋体"/>
          <w:b/>
          <w:bCs/>
          <w:sz w:val="24"/>
          <w:szCs w:val="24"/>
        </w:rPr>
      </w:pPr>
      <w:bookmarkStart w:id="16" w:name="_Toc5542"/>
      <w:bookmarkStart w:id="17" w:name="_Toc19537"/>
      <w:bookmarkStart w:id="18" w:name="_Toc9816"/>
      <w:bookmarkStart w:id="19" w:name="_Toc30891"/>
      <w:r>
        <w:rPr>
          <w:rFonts w:hint="eastAsia" w:ascii="宋体" w:hAnsi="宋体" w:cs="宋体"/>
          <w:b/>
          <w:bCs/>
          <w:sz w:val="24"/>
          <w:szCs w:val="24"/>
          <w:lang w:val="en-US" w:eastAsia="zh-CN"/>
        </w:rPr>
        <w:t>五</w:t>
      </w:r>
      <w:r>
        <w:rPr>
          <w:rFonts w:hint="eastAsia" w:ascii="宋体" w:hAnsi="宋体" w:eastAsia="宋体" w:cs="宋体"/>
          <w:b/>
          <w:bCs/>
          <w:sz w:val="24"/>
          <w:szCs w:val="24"/>
        </w:rPr>
        <w:t>、发布公告的媒介</w:t>
      </w:r>
      <w:bookmarkEnd w:id="16"/>
      <w:bookmarkEnd w:id="17"/>
      <w:bookmarkEnd w:id="18"/>
      <w:bookmarkEnd w:id="19"/>
    </w:p>
    <w:p w14:paraId="02DF4977">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0424FF76">
      <w:pPr>
        <w:spacing w:line="560" w:lineRule="exact"/>
        <w:ind w:firstLine="482" w:firstLineChars="200"/>
        <w:outlineLvl w:val="1"/>
        <w:rPr>
          <w:rFonts w:hint="eastAsia" w:ascii="宋体" w:hAnsi="宋体" w:eastAsia="宋体" w:cs="宋体"/>
          <w:b/>
          <w:bCs/>
          <w:sz w:val="24"/>
          <w:szCs w:val="24"/>
        </w:rPr>
      </w:pPr>
      <w:bookmarkStart w:id="20" w:name="_Toc13188"/>
      <w:bookmarkStart w:id="21" w:name="_Toc27799"/>
      <w:bookmarkStart w:id="22" w:name="_Toc5838"/>
      <w:bookmarkStart w:id="23" w:name="_Toc17140"/>
      <w:bookmarkStart w:id="24" w:name="bookmark189"/>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bookmarkEnd w:id="20"/>
      <w:bookmarkEnd w:id="21"/>
      <w:bookmarkEnd w:id="22"/>
      <w:bookmarkEnd w:id="23"/>
    </w:p>
    <w:p w14:paraId="2C17B94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1A9F626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w:t>
      </w:r>
      <w:r>
        <w:rPr>
          <w:rFonts w:hint="eastAsia" w:ascii="仿宋_GB2312" w:hAnsi="仿宋_GB2312" w:eastAsia="仿宋_GB2312" w:cs="仿宋_GB2312"/>
          <w:sz w:val="24"/>
          <w:lang w:eastAsia="zh-CN"/>
        </w:rPr>
        <w:t>经营管理部</w:t>
      </w:r>
      <w:r>
        <w:rPr>
          <w:rFonts w:hint="eastAsia" w:ascii="仿宋_GB2312" w:hAnsi="仿宋_GB2312" w:eastAsia="仿宋_GB2312" w:cs="仿宋_GB2312"/>
          <w:sz w:val="24"/>
        </w:rPr>
        <w:t>）</w:t>
      </w:r>
    </w:p>
    <w:p w14:paraId="502D6166">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63938350">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754BCA8A">
      <w:pPr>
        <w:pStyle w:val="4"/>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7544F296">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65050A9D">
      <w:pPr>
        <w:tabs>
          <w:tab w:val="left" w:pos="7740"/>
        </w:tabs>
        <w:spacing w:line="560" w:lineRule="exact"/>
        <w:ind w:firstLine="5040" w:firstLineChars="2100"/>
        <w:jc w:val="right"/>
        <w:rPr>
          <w:rFonts w:hint="eastAsia" w:ascii="仿宋_GB2312" w:hAnsi="仿宋_GB2312" w:eastAsia="仿宋_GB2312" w:cs="仿宋_GB2312"/>
          <w:sz w:val="24"/>
        </w:rPr>
      </w:pPr>
    </w:p>
    <w:p w14:paraId="1ACA9243">
      <w:pPr>
        <w:tabs>
          <w:tab w:val="left" w:pos="7740"/>
        </w:tabs>
        <w:spacing w:line="560" w:lineRule="exact"/>
        <w:ind w:firstLine="5040" w:firstLineChars="2100"/>
        <w:jc w:val="right"/>
        <w:rPr>
          <w:rFonts w:hint="eastAsia" w:ascii="仿宋_GB2312" w:hAnsi="仿宋_GB2312" w:eastAsia="仿宋_GB2312" w:cs="仿宋_GB2312"/>
          <w:sz w:val="24"/>
        </w:rPr>
      </w:pPr>
    </w:p>
    <w:p w14:paraId="6758C13C">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1B5FECBC">
      <w:pPr>
        <w:pStyle w:val="2"/>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31</w:t>
      </w:r>
      <w:r>
        <w:rPr>
          <w:rFonts w:hint="eastAsia" w:ascii="仿宋_GB2312" w:hAnsi="仿宋_GB2312" w:eastAsia="仿宋_GB2312" w:cs="仿宋_GB2312"/>
          <w:sz w:val="24"/>
        </w:rPr>
        <w:t>日</w:t>
      </w:r>
    </w:p>
    <w:bookmarkEnd w:id="24"/>
    <w:p w14:paraId="6FE97C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CE87C12-E38A-444D-906A-8D25CF65CB36}"/>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3001C1E-FCA8-49D0-8807-96D786C6B062}"/>
  </w:font>
  <w:font w:name="方正仿宋_GB2312">
    <w:panose1 w:val="02000000000000000000"/>
    <w:charset w:val="86"/>
    <w:family w:val="auto"/>
    <w:pitch w:val="default"/>
    <w:sig w:usb0="A00002BF" w:usb1="184F6CFA" w:usb2="00000012" w:usb3="00000000" w:csb0="00040001" w:csb1="00000000"/>
    <w:embedRegular r:id="rId3" w:fontKey="{9624E759-FFB0-4A8F-B3D4-9544635C55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4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snapToGrid w:val="0"/>
      <w:spacing w:line="440" w:lineRule="atLeast"/>
      <w:outlineLvl w:val="3"/>
    </w:pPr>
    <w:rPr>
      <w:bCs/>
      <w:kern w:val="0"/>
      <w:sz w:val="24"/>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2025-03-31T02:04:55Z</dcterms:created>
  <dc:creator>Lenovo</dc:creator>
  <cp:lastModifiedBy>殷子渊</cp:lastModifiedBy>
  <dcterms:modified xsi:type="dcterms:W3CDTF">2025-03-31T02:05:47Z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eyJoZGlkIjoiYzhkOTcyZjZiZTBmZTBhMGMxM2QyMzA3MzM0ZGFhNWYiLCJ1c2VySWQiOiIzNjg4MjY3MTcifQ==</vt:lpwstr>
  </property>
  <property fmtid="{D5CDD505-2E9C-101B-9397-08002B2CF9AE}" pid="4" name="ICV">
    <vt:lpwstr>270A51B0E6664545B3C37CC18803C319_12</vt:lpwstr>
  </property>
</Properties>
</file>