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82B05">
      <w:pPr>
        <w:spacing w:line="360" w:lineRule="auto"/>
        <w:jc w:val="center"/>
        <w:rPr>
          <w:rFonts w:hint="eastAsia"/>
          <w:b/>
          <w:sz w:val="36"/>
          <w:szCs w:val="36"/>
        </w:rPr>
      </w:pPr>
      <w:r>
        <w:rPr>
          <w:rFonts w:hint="eastAsia"/>
          <w:b/>
          <w:sz w:val="44"/>
          <w:szCs w:val="44"/>
        </w:rPr>
        <w:t>川投（资阳）燃气发电有限公司</w:t>
      </w:r>
    </w:p>
    <w:p w14:paraId="103FEDA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b/>
          <w:sz w:val="36"/>
          <w:szCs w:val="36"/>
          <w:lang w:eastAsia="zh-CN"/>
        </w:rPr>
      </w:pPr>
      <w:r>
        <w:rPr>
          <w:rFonts w:hint="eastAsia"/>
          <w:b/>
          <w:sz w:val="36"/>
          <w:szCs w:val="36"/>
          <w:lang w:eastAsia="zh-CN"/>
        </w:rPr>
        <w:t>机务专业</w:t>
      </w:r>
      <w:r>
        <w:rPr>
          <w:rFonts w:hint="eastAsia"/>
          <w:b/>
          <w:sz w:val="36"/>
          <w:szCs w:val="36"/>
          <w:lang w:val="en-US" w:eastAsia="zh-CN"/>
        </w:rPr>
        <w:t>备品</w:t>
      </w:r>
      <w:r>
        <w:rPr>
          <w:rFonts w:hint="eastAsia"/>
          <w:b/>
          <w:sz w:val="36"/>
          <w:szCs w:val="36"/>
          <w:lang w:eastAsia="zh-CN"/>
        </w:rPr>
        <w:t>备件</w:t>
      </w:r>
      <w:r>
        <w:rPr>
          <w:rFonts w:hint="eastAsia"/>
          <w:b/>
          <w:sz w:val="36"/>
          <w:szCs w:val="36"/>
          <w:lang w:val="en-US" w:eastAsia="zh-CN"/>
        </w:rPr>
        <w:t>及应急物资</w:t>
      </w:r>
      <w:r>
        <w:rPr>
          <w:rFonts w:hint="eastAsia"/>
          <w:b/>
          <w:sz w:val="36"/>
          <w:szCs w:val="36"/>
          <w:lang w:eastAsia="zh-CN"/>
        </w:rPr>
        <w:t>采购</w:t>
      </w:r>
    </w:p>
    <w:p w14:paraId="7333B03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b/>
          <w:sz w:val="36"/>
          <w:szCs w:val="36"/>
          <w:lang w:val="en-US" w:eastAsia="zh-CN"/>
        </w:rPr>
      </w:pPr>
      <w:r>
        <w:rPr>
          <w:rFonts w:hint="eastAsia"/>
          <w:b/>
          <w:sz w:val="36"/>
          <w:szCs w:val="36"/>
          <w:lang w:val="en-US" w:eastAsia="zh-CN"/>
        </w:rPr>
        <w:t>比选公告</w:t>
      </w:r>
    </w:p>
    <w:p w14:paraId="28B75A99">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bookmarkStart w:id="23" w:name="_GoBack"/>
      <w:bookmarkEnd w:id="23"/>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有限责任公司（系四川省投资集团有限责任公司全资子公司）全资组建，注册资本8亿元，负责川投集团资阳燃气电站新建工程项目的建设和运营。项目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p>
    <w:p w14:paraId="6DC0E15E">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机务专业备品备件及应急物资采购</w:t>
      </w:r>
      <w:r>
        <w:rPr>
          <w:rFonts w:hint="eastAsia" w:ascii="仿宋_GB2312" w:eastAsia="仿宋_GB2312"/>
          <w:sz w:val="24"/>
        </w:rPr>
        <w:t>中标人，欢迎符合条件的潜在申请人参加比选活动。</w:t>
      </w:r>
    </w:p>
    <w:p w14:paraId="4F081EF8">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1633"/>
      <w:bookmarkStart w:id="1" w:name="_Toc29571"/>
      <w:bookmarkStart w:id="2" w:name="_Toc12189"/>
      <w:r>
        <w:rPr>
          <w:rFonts w:hint="eastAsia" w:ascii="宋体" w:hAnsi="宋体" w:eastAsia="宋体" w:cs="宋体"/>
          <w:b/>
          <w:bCs/>
          <w:kern w:val="2"/>
          <w:sz w:val="24"/>
          <w:lang w:val="en-US" w:eastAsia="zh-CN"/>
        </w:rPr>
        <w:t>一、</w:t>
      </w:r>
      <w:r>
        <w:rPr>
          <w:rFonts w:hint="eastAsia" w:ascii="宋体" w:hAnsi="宋体" w:cs="宋体"/>
          <w:b/>
          <w:bCs/>
          <w:kern w:val="2"/>
          <w:sz w:val="24"/>
          <w:lang w:val="en-US" w:eastAsia="zh-CN"/>
        </w:rPr>
        <w:t>比选</w:t>
      </w:r>
      <w:r>
        <w:rPr>
          <w:rFonts w:hint="eastAsia" w:ascii="宋体" w:hAnsi="宋体" w:eastAsia="宋体" w:cs="宋体"/>
          <w:b/>
          <w:bCs/>
          <w:kern w:val="2"/>
          <w:sz w:val="24"/>
        </w:rPr>
        <w:t>内容</w:t>
      </w:r>
      <w:bookmarkEnd w:id="0"/>
      <w:bookmarkEnd w:id="1"/>
      <w:bookmarkEnd w:id="2"/>
    </w:p>
    <w:p w14:paraId="7E5D1FFE">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val="en-US" w:eastAsia="zh-CN"/>
        </w:rPr>
        <w:t>为确保运营期机组的正常运行，现需采购一批备品备件，采购清单详见附件。</w:t>
      </w:r>
    </w:p>
    <w:p w14:paraId="483DDB1E">
      <w:pPr>
        <w:spacing w:line="56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供货周期：</w:t>
      </w:r>
      <w:r>
        <w:rPr>
          <w:rFonts w:hint="eastAsia" w:ascii="仿宋_GB2312" w:eastAsia="仿宋_GB2312"/>
          <w:sz w:val="24"/>
          <w:highlight w:val="none"/>
          <w:lang w:val="en-US" w:eastAsia="zh-CN"/>
        </w:rPr>
        <w:t>暂定2024年10月31日前到货（具体供货时间以比选人实际要求为准）</w:t>
      </w:r>
      <w:r>
        <w:rPr>
          <w:rFonts w:hint="eastAsia" w:ascii="仿宋_GB2312" w:eastAsia="仿宋_GB2312"/>
          <w:sz w:val="24"/>
          <w:lang w:val="en-US" w:eastAsia="zh-CN"/>
        </w:rPr>
        <w:t>。</w:t>
      </w:r>
    </w:p>
    <w:p w14:paraId="29A8E0C9">
      <w:pPr>
        <w:spacing w:line="560" w:lineRule="exact"/>
        <w:ind w:firstLine="482" w:firstLineChars="200"/>
        <w:outlineLvl w:val="1"/>
        <w:rPr>
          <w:rFonts w:hint="eastAsia" w:ascii="宋体" w:hAnsi="宋体" w:eastAsia="宋体" w:cs="宋体"/>
          <w:b/>
          <w:bCs/>
          <w:kern w:val="2"/>
          <w:sz w:val="24"/>
        </w:rPr>
      </w:pPr>
      <w:bookmarkStart w:id="3" w:name="_Toc23118"/>
      <w:bookmarkStart w:id="4" w:name="_Toc32737"/>
      <w:bookmarkStart w:id="5" w:name="_Toc14610"/>
      <w:r>
        <w:rPr>
          <w:rFonts w:hint="eastAsia" w:ascii="宋体" w:hAnsi="宋体" w:eastAsia="宋体" w:cs="宋体"/>
          <w:b/>
          <w:bCs/>
          <w:kern w:val="2"/>
          <w:sz w:val="24"/>
        </w:rPr>
        <w:t>二、</w:t>
      </w:r>
      <w:r>
        <w:rPr>
          <w:rFonts w:hint="eastAsia" w:ascii="宋体" w:hAnsi="宋体" w:cs="宋体"/>
          <w:b/>
          <w:bCs/>
          <w:kern w:val="2"/>
          <w:sz w:val="24"/>
          <w:lang w:val="en-US" w:eastAsia="zh-CN"/>
        </w:rPr>
        <w:t>供应商</w:t>
      </w:r>
      <w:r>
        <w:rPr>
          <w:rFonts w:hint="eastAsia" w:ascii="宋体" w:hAnsi="宋体" w:eastAsia="宋体" w:cs="宋体"/>
          <w:b/>
          <w:bCs/>
          <w:kern w:val="2"/>
          <w:sz w:val="24"/>
        </w:rPr>
        <w:t>资格要求</w:t>
      </w:r>
      <w:bookmarkEnd w:id="3"/>
      <w:bookmarkEnd w:id="4"/>
      <w:bookmarkEnd w:id="5"/>
    </w:p>
    <w:p w14:paraId="7B344929">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（一）应具备独立法人资格，具有有效的营业执照;</w:t>
      </w:r>
    </w:p>
    <w:p w14:paraId="5FAA0EE4">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w:t>
      </w:r>
      <w:bookmarkStart w:id="6" w:name="_Toc37772063"/>
      <w:r>
        <w:rPr>
          <w:rFonts w:hint="eastAsia" w:ascii="仿宋_GB2312" w:hAnsi="仿宋_GB2312" w:eastAsia="仿宋_GB2312" w:cs="仿宋_GB2312"/>
          <w:b w:val="0"/>
          <w:bCs w:val="0"/>
          <w:kern w:val="2"/>
          <w:sz w:val="24"/>
          <w:szCs w:val="24"/>
          <w:lang w:val="en-US" w:eastAsia="zh-CN" w:bidi="ar-SA"/>
        </w:rPr>
        <w:t>近三年(2021年1月1日至投标截止日止)应具有至少1个发电企业备品备件供货业绩。</w:t>
      </w:r>
    </w:p>
    <w:bookmarkEnd w:id="6"/>
    <w:p w14:paraId="2E8C30DF">
      <w:pPr>
        <w:spacing w:line="540" w:lineRule="exact"/>
        <w:ind w:firstLine="482" w:firstLineChars="200"/>
        <w:outlineLvl w:val="1"/>
        <w:rPr>
          <w:rFonts w:hint="eastAsia" w:ascii="宋体" w:hAnsi="宋体" w:eastAsia="宋体" w:cs="宋体"/>
          <w:b/>
          <w:bCs/>
          <w:kern w:val="2"/>
          <w:sz w:val="24"/>
        </w:rPr>
      </w:pPr>
      <w:bookmarkStart w:id="7" w:name="_Toc17293"/>
      <w:bookmarkStart w:id="8" w:name="_Toc22982"/>
      <w:bookmarkStart w:id="9" w:name="_Toc12307"/>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7"/>
      <w:bookmarkEnd w:id="8"/>
      <w:bookmarkEnd w:id="9"/>
    </w:p>
    <w:p w14:paraId="6ADB623D">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color w:val="FF0000"/>
          <w:sz w:val="24"/>
          <w:highlight w:val="yellow"/>
        </w:rPr>
        <w:t>请于2024年</w:t>
      </w:r>
      <w:r>
        <w:rPr>
          <w:rFonts w:hint="eastAsia" w:ascii="仿宋_GB2312" w:hAnsi="仿宋_GB2312" w:eastAsia="仿宋_GB2312" w:cs="仿宋_GB2312"/>
          <w:color w:val="FF0000"/>
          <w:sz w:val="24"/>
          <w:highlight w:val="yellow"/>
          <w:lang w:val="en-US" w:eastAsia="zh-CN"/>
        </w:rPr>
        <w:t>9</w:t>
      </w:r>
      <w:r>
        <w:rPr>
          <w:rFonts w:hint="eastAsia" w:ascii="仿宋_GB2312" w:hAnsi="仿宋_GB2312" w:eastAsia="仿宋_GB2312" w:cs="仿宋_GB2312"/>
          <w:color w:val="FF0000"/>
          <w:sz w:val="24"/>
          <w:highlight w:val="yellow"/>
        </w:rPr>
        <w:t>月</w:t>
      </w:r>
      <w:r>
        <w:rPr>
          <w:rFonts w:hint="eastAsia" w:ascii="仿宋_GB2312" w:hAnsi="仿宋_GB2312" w:eastAsia="仿宋_GB2312" w:cs="仿宋_GB2312"/>
          <w:color w:val="FF0000"/>
          <w:sz w:val="24"/>
          <w:highlight w:val="yellow"/>
          <w:lang w:val="en-US" w:eastAsia="zh-CN"/>
        </w:rPr>
        <w:t>20</w:t>
      </w:r>
      <w:r>
        <w:rPr>
          <w:rFonts w:hint="eastAsia" w:ascii="仿宋_GB2312" w:hAnsi="仿宋_GB2312" w:eastAsia="仿宋_GB2312" w:cs="仿宋_GB2312"/>
          <w:color w:val="FF0000"/>
          <w:sz w:val="24"/>
          <w:highlight w:val="yellow"/>
        </w:rPr>
        <w:t>日17时</w:t>
      </w:r>
      <w:r>
        <w:rPr>
          <w:rFonts w:hint="eastAsia" w:ascii="仿宋_GB2312" w:hAnsi="仿宋_GB2312" w:eastAsia="仿宋_GB2312" w:cs="仿宋_GB2312"/>
          <w:sz w:val="24"/>
        </w:rPr>
        <w:t>之前登录天府阳光采购平台（http://scig.tfygcgfw.com/），完成注册下载比选资料（比选文件等）。</w:t>
      </w:r>
    </w:p>
    <w:p w14:paraId="27D2D2FA">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14:paraId="455A92F2">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w:t>
      </w:r>
      <w:r>
        <w:rPr>
          <w:rFonts w:hint="eastAsia" w:ascii="仿宋_GB2312" w:hAnsi="仿宋_GB2312" w:eastAsia="仿宋_GB2312" w:cs="仿宋_GB2312"/>
          <w:sz w:val="24"/>
          <w:lang w:val="en-US" w:eastAsia="zh-CN"/>
        </w:rPr>
        <w:t>服务费</w:t>
      </w:r>
      <w:r>
        <w:rPr>
          <w:rFonts w:hint="eastAsia" w:ascii="仿宋_GB2312" w:hAnsi="仿宋_GB2312" w:eastAsia="仿宋_GB2312" w:cs="仿宋_GB2312"/>
          <w:sz w:val="24"/>
        </w:rPr>
        <w:t>收费标准：人民币50 元。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46476D7C">
      <w:pPr>
        <w:spacing w:line="560" w:lineRule="exact"/>
        <w:ind w:firstLine="482" w:firstLineChars="200"/>
        <w:outlineLvl w:val="1"/>
        <w:rPr>
          <w:rFonts w:hint="eastAsia" w:ascii="宋体" w:hAnsi="宋体" w:eastAsia="宋体" w:cs="宋体"/>
          <w:b/>
          <w:bCs/>
          <w:kern w:val="2"/>
          <w:sz w:val="24"/>
        </w:rPr>
      </w:pPr>
      <w:bookmarkStart w:id="10" w:name="_Toc28043"/>
      <w:bookmarkStart w:id="11" w:name="_Toc4815"/>
      <w:bookmarkStart w:id="12" w:name="_Toc21487"/>
      <w:r>
        <w:rPr>
          <w:rFonts w:hint="eastAsia" w:ascii="宋体" w:hAnsi="宋体" w:eastAsia="宋体" w:cs="宋体"/>
          <w:b/>
          <w:bCs/>
          <w:kern w:val="2"/>
          <w:sz w:val="24"/>
        </w:rPr>
        <w:t>四、递交比选申请文件截止时间及地点</w:t>
      </w:r>
      <w:bookmarkEnd w:id="10"/>
      <w:bookmarkEnd w:id="11"/>
      <w:bookmarkEnd w:id="12"/>
    </w:p>
    <w:p w14:paraId="72CECB3C">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yellow"/>
        </w:rPr>
        <w:t>2024年</w:t>
      </w:r>
      <w:r>
        <w:rPr>
          <w:rFonts w:hint="eastAsia" w:ascii="仿宋_GB2312" w:hAnsi="仿宋_GB2312" w:eastAsia="仿宋_GB2312" w:cs="仿宋_GB2312"/>
          <w:b/>
          <w:bCs/>
          <w:sz w:val="24"/>
          <w:highlight w:val="yellow"/>
          <w:u w:val="none"/>
          <w:lang w:eastAsia="zh-CN"/>
        </w:rPr>
        <w:t>9</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25</w:t>
      </w:r>
      <w:r>
        <w:rPr>
          <w:rFonts w:hint="eastAsia" w:ascii="仿宋_GB2312" w:hAnsi="仿宋_GB2312" w:eastAsia="仿宋_GB2312" w:cs="仿宋_GB2312"/>
          <w:b/>
          <w:bCs/>
          <w:sz w:val="24"/>
          <w:highlight w:val="yellow"/>
        </w:rPr>
        <w:t>日14:00</w:t>
      </w:r>
      <w:r>
        <w:rPr>
          <w:rFonts w:hint="eastAsia" w:ascii="仿宋_GB2312" w:hAnsi="仿宋_GB2312" w:eastAsia="仿宋_GB2312" w:cs="仿宋_GB2312"/>
          <w:b/>
          <w:bCs/>
          <w:sz w:val="24"/>
        </w:rPr>
        <w:t>。逾期送达或未按</w:t>
      </w:r>
      <w:r>
        <w:rPr>
          <w:rFonts w:hint="eastAsia" w:ascii="仿宋_GB2312" w:hAnsi="仿宋_GB2312" w:eastAsia="仿宋_GB2312" w:cs="仿宋_GB2312"/>
          <w:b/>
          <w:bCs/>
          <w:sz w:val="24"/>
          <w:lang w:val="en-US" w:eastAsia="zh-CN"/>
        </w:rPr>
        <w:t>指</w:t>
      </w:r>
      <w:r>
        <w:rPr>
          <w:rFonts w:hint="eastAsia" w:ascii="仿宋_GB2312" w:hAnsi="仿宋_GB2312" w:eastAsia="仿宋_GB2312" w:cs="仿宋_GB2312"/>
          <w:b/>
          <w:bCs/>
          <w:sz w:val="24"/>
        </w:rPr>
        <w:t>定地址送达的均不予受理。</w:t>
      </w:r>
    </w:p>
    <w:p w14:paraId="2C2F5AE0">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2楼（计</w:t>
      </w:r>
      <w:r>
        <w:rPr>
          <w:rFonts w:hint="eastAsia" w:ascii="方正仿宋_GB2312" w:hAnsi="方正仿宋_GB2312" w:eastAsia="方正仿宋_GB2312" w:cs="方正仿宋_GB2312"/>
          <w:b/>
          <w:bCs/>
          <w:sz w:val="24"/>
        </w:rPr>
        <w:t>划</w:t>
      </w:r>
      <w:r>
        <w:rPr>
          <w:rFonts w:hint="eastAsia" w:ascii="仿宋_GB2312" w:hAnsi="Times New Roman" w:eastAsia="仿宋_GB2312" w:cs="Times New Roman"/>
          <w:b/>
          <w:bCs/>
          <w:sz w:val="24"/>
        </w:rPr>
        <w:t>物资部），时间以比选人签收时间为准</w:t>
      </w:r>
      <w:r>
        <w:rPr>
          <w:rFonts w:hint="eastAsia" w:ascii="仿宋_GB2312" w:hAnsi="Times New Roman" w:eastAsia="仿宋_GB2312" w:cs="Times New Roman"/>
          <w:b/>
          <w:bCs/>
          <w:sz w:val="24"/>
          <w:lang w:eastAsia="zh-CN"/>
        </w:rPr>
        <w:t>。</w:t>
      </w:r>
    </w:p>
    <w:p w14:paraId="2898D997">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活动且对本项目开标、评标的流程、结果无异议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hAnsi="Times New Roman" w:eastAsia="仿宋_GB2312" w:cs="Times New Roman"/>
          <w:b/>
          <w:bCs/>
          <w:sz w:val="24"/>
          <w:lang w:val="en-US" w:eastAsia="zh-CN"/>
        </w:rPr>
        <w:t>作无效投标文件处理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注意投标截止时间，并尽可能多预留一点邮寄时间，且在邮寄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14:paraId="0B34EE2C">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A大门生产综合楼</w:t>
      </w:r>
      <w:r>
        <w:rPr>
          <w:rFonts w:hint="eastAsia" w:ascii="仿宋_GB2312" w:hAnsi="Times New Roman" w:eastAsia="仿宋_GB2312" w:cs="Times New Roman"/>
          <w:b/>
          <w:bCs/>
          <w:sz w:val="24"/>
        </w:rPr>
        <w:t>2楼（计划物资部）。</w:t>
      </w:r>
      <w:r>
        <w:rPr>
          <w:rFonts w:hint="eastAsia" w:ascii="仿宋_GB2312" w:hAnsi="仿宋_GB2312" w:eastAsia="仿宋_GB2312" w:cs="仿宋_GB2312"/>
          <w:b/>
          <w:bCs/>
          <w:sz w:val="24"/>
        </w:rPr>
        <w:t>比选申请文件</w:t>
      </w:r>
      <w:r>
        <w:rPr>
          <w:rFonts w:hint="eastAsia" w:ascii="仿宋_GB2312" w:hAnsi="仿宋_GB2312" w:eastAsia="仿宋_GB2312" w:cs="仿宋_GB2312"/>
          <w:b/>
          <w:bCs/>
          <w:sz w:val="24"/>
          <w:u w:val="none"/>
        </w:rPr>
        <w:t>正本1套，副本</w:t>
      </w:r>
      <w:r>
        <w:rPr>
          <w:rFonts w:hint="eastAsia" w:ascii="仿宋_GB2312" w:hAnsi="仿宋_GB2312" w:eastAsia="仿宋_GB2312" w:cs="仿宋_GB2312"/>
          <w:b/>
          <w:bCs/>
          <w:sz w:val="24"/>
          <w:u w:val="none"/>
          <w:lang w:val="en-US" w:eastAsia="zh-CN"/>
        </w:rPr>
        <w:t>1</w:t>
      </w:r>
      <w:r>
        <w:rPr>
          <w:rFonts w:hint="eastAsia" w:ascii="仿宋_GB2312" w:hAnsi="仿宋_GB2312" w:eastAsia="仿宋_GB2312" w:cs="仿宋_GB2312"/>
          <w:b/>
          <w:bCs/>
          <w:sz w:val="24"/>
          <w:u w:val="non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w:t>
      </w:r>
      <w:r>
        <w:rPr>
          <w:rFonts w:hint="eastAsia" w:ascii="仿宋_GB2312" w:hAnsi="仿宋_GB2312" w:eastAsia="仿宋_GB2312" w:cs="仿宋_GB2312"/>
          <w:b/>
          <w:bCs/>
          <w:sz w:val="24"/>
        </w:rPr>
        <w:t>内含</w:t>
      </w:r>
      <w:r>
        <w:rPr>
          <w:rFonts w:hint="eastAsia" w:ascii="仿宋_GB2312" w:hAnsi="仿宋_GB2312" w:eastAsia="仿宋_GB2312" w:cs="仿宋_GB2312"/>
          <w:b/>
          <w:bCs/>
          <w:sz w:val="24"/>
          <w:lang w:val="en-US" w:eastAsia="zh-CN"/>
        </w:rPr>
        <w:t>可编辑excel表格的报价明细表、</w:t>
      </w:r>
      <w:r>
        <w:rPr>
          <w:rFonts w:hint="eastAsia" w:ascii="仿宋_GB2312" w:hAnsi="仿宋_GB2312" w:eastAsia="仿宋_GB2312" w:cs="仿宋_GB2312"/>
          <w:b/>
          <w:bCs/>
          <w:sz w:val="24"/>
        </w:rPr>
        <w:t>签字盖章后比选申请文件</w:t>
      </w:r>
      <w:r>
        <w:rPr>
          <w:rFonts w:hint="eastAsia" w:ascii="仿宋_GB2312" w:hAnsi="仿宋_GB2312" w:eastAsia="仿宋_GB2312" w:cs="仿宋_GB2312"/>
          <w:b/>
          <w:bCs/>
          <w:sz w:val="24"/>
          <w:lang w:val="en-US" w:eastAsia="zh-CN"/>
        </w:rPr>
        <w:t>正本</w:t>
      </w:r>
      <w:r>
        <w:rPr>
          <w:rFonts w:hint="eastAsia" w:ascii="仿宋_GB2312" w:hAnsi="仿宋_GB2312" w:eastAsia="仿宋_GB2312" w:cs="仿宋_GB2312"/>
          <w:b/>
          <w:bCs/>
          <w:sz w:val="24"/>
        </w:rPr>
        <w:t>扫描版*.PDF</w:t>
      </w:r>
      <w:r>
        <w:rPr>
          <w:rFonts w:hint="eastAsia" w:ascii="仿宋_GB2312" w:hAnsi="仿宋_GB2312" w:eastAsia="仿宋_GB2312" w:cs="仿宋_GB2312"/>
          <w:sz w:val="24"/>
        </w:rPr>
        <w:t>）。逾期送达或未送达指定地点的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14:paraId="47D82FCE">
      <w:pPr>
        <w:spacing w:line="560" w:lineRule="exact"/>
        <w:ind w:firstLine="482" w:firstLineChars="200"/>
        <w:outlineLvl w:val="1"/>
        <w:rPr>
          <w:rFonts w:hint="eastAsia" w:ascii="宋体" w:hAnsi="宋体" w:eastAsia="宋体" w:cs="宋体"/>
          <w:b/>
          <w:bCs/>
          <w:sz w:val="24"/>
        </w:rPr>
      </w:pPr>
      <w:bookmarkStart w:id="13" w:name="_Toc30519"/>
      <w:bookmarkStart w:id="14" w:name="_Toc3286"/>
      <w:bookmarkStart w:id="15" w:name="_Toc2169"/>
      <w:r>
        <w:rPr>
          <w:rFonts w:hint="eastAsia" w:ascii="宋体" w:hAnsi="宋体" w:eastAsia="宋体" w:cs="宋体"/>
          <w:b/>
          <w:bCs/>
          <w:sz w:val="24"/>
        </w:rPr>
        <w:t>五</w:t>
      </w:r>
      <w:r>
        <w:rPr>
          <w:rFonts w:hint="eastAsia" w:ascii="宋体" w:hAnsi="宋体" w:eastAsia="宋体" w:cs="宋体"/>
          <w:b/>
          <w:bCs/>
          <w:sz w:val="24"/>
          <w:lang w:eastAsia="zh-CN"/>
        </w:rPr>
        <w:t>、</w:t>
      </w:r>
      <w:r>
        <w:rPr>
          <w:rFonts w:hint="eastAsia" w:ascii="宋体" w:hAnsi="宋体" w:eastAsia="宋体" w:cs="宋体"/>
          <w:b/>
          <w:bCs/>
          <w:sz w:val="24"/>
        </w:rPr>
        <w:t>开标</w:t>
      </w:r>
      <w:bookmarkEnd w:id="13"/>
      <w:bookmarkEnd w:id="14"/>
      <w:bookmarkEnd w:id="15"/>
    </w:p>
    <w:p w14:paraId="2237C5E1">
      <w:pPr>
        <w:spacing w:line="360" w:lineRule="auto"/>
        <w:rPr>
          <w:rFonts w:ascii="仿宋_GB2312" w:hAnsi="仿宋_GB2312" w:eastAsia="仿宋_GB2312" w:cs="仿宋_GB2312"/>
          <w:color w:val="FF0000"/>
          <w:sz w:val="24"/>
        </w:rPr>
      </w:pPr>
      <w:r>
        <w:rPr>
          <w:rFonts w:hint="eastAsia" w:ascii="仿宋_GB2312" w:hAnsi="仿宋_GB2312" w:eastAsia="仿宋_GB2312" w:cs="仿宋_GB2312"/>
          <w:b/>
          <w:bCs/>
          <w:sz w:val="24"/>
        </w:rPr>
        <w:t xml:space="preserve">   </w:t>
      </w:r>
      <w:r>
        <w:rPr>
          <w:rFonts w:hint="eastAsia" w:ascii="仿宋_GB2312" w:hAnsi="仿宋_GB2312" w:eastAsia="仿宋_GB2312" w:cs="仿宋_GB2312"/>
          <w:sz w:val="24"/>
        </w:rPr>
        <w:t>开标时间：</w:t>
      </w:r>
      <w:r>
        <w:rPr>
          <w:rFonts w:hint="eastAsia" w:ascii="仿宋_GB2312" w:hAnsi="仿宋_GB2312" w:eastAsia="仿宋_GB2312" w:cs="仿宋_GB2312"/>
          <w:b/>
          <w:bCs/>
          <w:sz w:val="24"/>
          <w:highlight w:val="yellow"/>
        </w:rPr>
        <w:t>2024年</w:t>
      </w:r>
      <w:r>
        <w:rPr>
          <w:rFonts w:hint="eastAsia" w:ascii="仿宋_GB2312" w:hAnsi="仿宋_GB2312" w:eastAsia="仿宋_GB2312" w:cs="仿宋_GB2312"/>
          <w:b/>
          <w:bCs/>
          <w:sz w:val="24"/>
          <w:highlight w:val="yellow"/>
          <w:u w:val="none"/>
          <w:lang w:eastAsia="zh-CN"/>
        </w:rPr>
        <w:t>9</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25</w:t>
      </w:r>
      <w:r>
        <w:rPr>
          <w:rFonts w:hint="eastAsia" w:ascii="仿宋_GB2312" w:hAnsi="仿宋_GB2312" w:eastAsia="仿宋_GB2312" w:cs="仿宋_GB2312"/>
          <w:b/>
          <w:bCs/>
          <w:sz w:val="24"/>
          <w:highlight w:val="yellow"/>
        </w:rPr>
        <w:t>日14:00</w:t>
      </w:r>
    </w:p>
    <w:p w14:paraId="66CAF286">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开标地点：川投（资阳）燃气发电有限公司2楼会议室</w:t>
      </w:r>
    </w:p>
    <w:p w14:paraId="291BFAE7">
      <w:pPr>
        <w:adjustRightInd/>
        <w:snapToGrid/>
        <w:spacing w:line="560" w:lineRule="exact"/>
        <w:ind w:firstLine="482" w:firstLineChars="200"/>
        <w:outlineLvl w:val="1"/>
        <w:rPr>
          <w:rFonts w:hint="eastAsia" w:ascii="宋体" w:hAnsi="宋体" w:eastAsia="宋体" w:cs="宋体"/>
          <w:b/>
          <w:bCs/>
          <w:sz w:val="24"/>
          <w:szCs w:val="24"/>
        </w:rPr>
      </w:pPr>
      <w:bookmarkStart w:id="16" w:name="_Toc30891"/>
      <w:bookmarkStart w:id="17" w:name="_Toc5542"/>
      <w:bookmarkStart w:id="18" w:name="_Toc9816"/>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、发布公告的媒介</w:t>
      </w:r>
      <w:bookmarkEnd w:id="16"/>
      <w:bookmarkEnd w:id="17"/>
      <w:bookmarkEnd w:id="18"/>
    </w:p>
    <w:p w14:paraId="74D47BD8">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14:paraId="3A667964">
      <w:pPr>
        <w:spacing w:line="560" w:lineRule="exact"/>
        <w:ind w:firstLine="482" w:firstLineChars="200"/>
        <w:outlineLvl w:val="1"/>
        <w:rPr>
          <w:rFonts w:hint="eastAsia" w:ascii="宋体" w:hAnsi="宋体" w:eastAsia="宋体" w:cs="宋体"/>
          <w:b/>
          <w:bCs/>
          <w:sz w:val="24"/>
          <w:szCs w:val="24"/>
        </w:rPr>
      </w:pPr>
      <w:bookmarkStart w:id="19" w:name="_Toc13188"/>
      <w:bookmarkStart w:id="20" w:name="_Toc17140"/>
      <w:bookmarkStart w:id="21" w:name="_Toc27799"/>
      <w:bookmarkStart w:id="22" w:name="bookmark189"/>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联系方式</w:t>
      </w:r>
      <w:bookmarkEnd w:id="19"/>
      <w:bookmarkEnd w:id="20"/>
      <w:bookmarkEnd w:id="21"/>
    </w:p>
    <w:p w14:paraId="12DE6D70">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14:paraId="4A46ED8B">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A大门生产综合楼</w:t>
      </w:r>
      <w:r>
        <w:rPr>
          <w:rFonts w:hint="eastAsia" w:ascii="仿宋_GB2312" w:hAnsi="仿宋_GB2312" w:eastAsia="仿宋_GB2312" w:cs="仿宋_GB2312"/>
          <w:sz w:val="24"/>
        </w:rPr>
        <w:t>2楼（计划物资部）</w:t>
      </w:r>
    </w:p>
    <w:p w14:paraId="7A61043C">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14:paraId="70A69E26">
      <w:pPr>
        <w:tabs>
          <w:tab w:val="left" w:pos="7740"/>
        </w:tabs>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14:paraId="617F078A">
      <w:pPr>
        <w:pStyle w:val="3"/>
        <w:ind w:firstLine="480" w:firstLineChars="200"/>
        <w:rPr>
          <w:rFonts w:hint="default"/>
          <w:lang w:val="en-US"/>
        </w:rPr>
      </w:pPr>
      <w:r>
        <w:rPr>
          <w:rFonts w:hint="eastAsia" w:ascii="仿宋_GB2312" w:hAnsi="仿宋_GB2312" w:eastAsia="仿宋_GB2312" w:cs="仿宋_GB2312"/>
          <w:sz w:val="24"/>
          <w:lang w:val="en-US" w:eastAsia="zh-CN"/>
        </w:rPr>
        <w:t>邮    箱：370422941@qq.com</w:t>
      </w:r>
    </w:p>
    <w:p w14:paraId="48A99D55">
      <w:pPr>
        <w:tabs>
          <w:tab w:val="left" w:pos="7740"/>
        </w:tabs>
        <w:spacing w:line="56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028-24061206</w:t>
      </w:r>
    </w:p>
    <w:p w14:paraId="4DFD1348">
      <w:pPr>
        <w:tabs>
          <w:tab w:val="left" w:pos="7740"/>
        </w:tabs>
        <w:spacing w:line="560" w:lineRule="exact"/>
        <w:ind w:firstLine="5040" w:firstLineChars="2100"/>
        <w:jc w:val="right"/>
        <w:rPr>
          <w:rFonts w:hint="eastAsia" w:ascii="仿宋_GB2312" w:hAnsi="仿宋_GB2312" w:eastAsia="仿宋_GB2312" w:cs="仿宋_GB2312"/>
          <w:sz w:val="24"/>
        </w:rPr>
      </w:pPr>
    </w:p>
    <w:p w14:paraId="787A74CE">
      <w:pPr>
        <w:tabs>
          <w:tab w:val="left" w:pos="7740"/>
        </w:tabs>
        <w:spacing w:line="560" w:lineRule="exact"/>
        <w:ind w:firstLine="5040" w:firstLineChars="2100"/>
        <w:jc w:val="right"/>
        <w:rPr>
          <w:rFonts w:hint="eastAsia" w:ascii="仿宋_GB2312" w:hAnsi="仿宋_GB2312" w:eastAsia="仿宋_GB2312" w:cs="仿宋_GB2312"/>
          <w:sz w:val="24"/>
        </w:rPr>
      </w:pPr>
    </w:p>
    <w:p w14:paraId="787C51DB">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14:paraId="0EBC86DE">
      <w:pPr>
        <w:pStyle w:val="2"/>
        <w:spacing w:line="560" w:lineRule="exact"/>
        <w:jc w:val="center"/>
        <w:rPr>
          <w:rFonts w:hint="eastAsia" w:ascii="宋体" w:hAnsi="宋体" w:eastAsia="宋体" w:cs="宋体"/>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日</w:t>
      </w:r>
    </w:p>
    <w:bookmarkEnd w:id="22"/>
    <w:p w14:paraId="2504D4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51959CC-2855-4209-98E0-282B07753C12}"/>
  </w:font>
  <w:font w:name="仿宋_GB2312">
    <w:panose1 w:val="02010609030101010101"/>
    <w:charset w:val="86"/>
    <w:family w:val="modern"/>
    <w:pitch w:val="default"/>
    <w:sig w:usb0="00000001" w:usb1="080E0000" w:usb2="00000000" w:usb3="00000000" w:csb0="00040000" w:csb1="00000000"/>
    <w:embedRegular r:id="rId2" w:fontKey="{7220CEFC-C9FD-42E9-9E71-95BB3A86F999}"/>
  </w:font>
  <w:font w:name="方正仿宋_GB2312">
    <w:panose1 w:val="02000000000000000000"/>
    <w:charset w:val="86"/>
    <w:family w:val="auto"/>
    <w:pitch w:val="default"/>
    <w:sig w:usb0="A00002BF" w:usb1="184F6CFA" w:usb2="00000012" w:usb3="00000000" w:csb0="00040001" w:csb1="00000000"/>
    <w:embedRegular r:id="rId3" w:fontKey="{E6DC5581-CB0F-4ACF-A019-E8514382B0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OTcyZjZiZTBmZTBhMGMxM2QyMzA3MzM0ZGFhNWYifQ=="/>
  </w:docVars>
  <w:rsids>
    <w:rsidRoot w:val="00000000"/>
    <w:rsid w:val="3E000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snapToGrid w:val="0"/>
      <w:spacing w:line="440" w:lineRule="atLeast"/>
      <w:outlineLvl w:val="3"/>
    </w:pPr>
    <w:rPr>
      <w:bCs/>
      <w:kern w:val="0"/>
      <w:sz w:val="24"/>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2024-09-14T06:28:23Z</dcterms:created>
  <dc:creator>Lenovo</dc:creator>
  <cp:lastModifiedBy>殷子渊</cp:lastModifiedBy>
  <dcterms:modified xsi:type="dcterms:W3CDTF">2024-09-14T06:29:29Z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8526855EB20045BA8FCB566A4251DE72_12</vt:lpwstr>
  </property>
</Properties>
</file>